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7F1967">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黑体" w:hAnsi="黑体" w:eastAsia="黑体" w:cs="黑体"/>
          <w:spacing w:val="-6"/>
          <w:sz w:val="28"/>
          <w:szCs w:val="28"/>
          <w:lang w:val="en-US" w:eastAsia="zh-CN"/>
        </w:rPr>
      </w:pPr>
      <w:r>
        <w:rPr>
          <w:rFonts w:hint="eastAsia" w:ascii="黑体" w:hAnsi="黑体" w:eastAsia="黑体" w:cs="黑体"/>
          <w:spacing w:val="-6"/>
          <w:sz w:val="28"/>
          <w:szCs w:val="28"/>
          <w:lang w:val="en-US" w:eastAsia="zh-CN"/>
        </w:rPr>
        <w:t>附件1</w:t>
      </w:r>
    </w:p>
    <w:p w14:paraId="74EA0515">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仿宋_GB2312" w:hAnsi="仿宋_GB2312" w:cs="仿宋_GB2312"/>
          <w:spacing w:val="-6"/>
          <w:sz w:val="32"/>
          <w:lang w:val="en-US" w:eastAsia="zh-CN"/>
        </w:rPr>
      </w:pPr>
    </w:p>
    <w:p w14:paraId="0F01F1E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湛江市市政公用设施移交管理办法</w:t>
      </w:r>
    </w:p>
    <w:p w14:paraId="167D33C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14:paraId="75F69AEC">
      <w:pPr>
        <w:spacing w:before="0" w:beforeLines="0" w:after="0" w:afterLines="0" w:line="240" w:lineRule="auto"/>
        <w:ind w:left="0" w:leftChars="0" w:right="0" w:rightChars="0" w:firstLine="0" w:firstLineChars="0"/>
        <w:jc w:val="center"/>
        <w:rPr>
          <w:rFonts w:hint="eastAsia" w:ascii="黑体" w:hAnsi="黑体" w:eastAsia="黑体" w:cs="黑体"/>
          <w:sz w:val="32"/>
          <w:szCs w:val="32"/>
        </w:rPr>
      </w:pPr>
      <w:bookmarkStart w:id="0" w:name="_Toc2065163652"/>
    </w:p>
    <w:p w14:paraId="233FE7CE">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562C61B7">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firstLine="0" w:firstLineChars="0"/>
        <w:textAlignment w:val="auto"/>
      </w:pPr>
      <w:r>
        <w:rPr>
          <w:rFonts w:hint="eastAsia" w:ascii="黑体" w:hAnsi="黑体" w:eastAsia="黑体" w:cs="黑体"/>
          <w:b/>
          <w:lang w:eastAsia="zh-CN"/>
        </w:rPr>
        <w:fldChar w:fldCharType="begin"/>
      </w:r>
      <w:r>
        <w:rPr>
          <w:rFonts w:hint="eastAsia" w:ascii="黑体" w:hAnsi="黑体" w:eastAsia="黑体" w:cs="黑体"/>
          <w:b/>
          <w:lang w:eastAsia="zh-CN"/>
        </w:rPr>
        <w:instrText xml:space="preserve">TOC \o "1-1" \h \u </w:instrText>
      </w:r>
      <w:r>
        <w:rPr>
          <w:rFonts w:hint="eastAsia" w:ascii="黑体" w:hAnsi="黑体" w:eastAsia="黑体" w:cs="黑体"/>
          <w:b/>
          <w:lang w:eastAsia="zh-CN"/>
        </w:rPr>
        <w:fldChar w:fldCharType="separate"/>
      </w:r>
      <w:r>
        <w:rPr>
          <w:rFonts w:hint="eastAsia" w:ascii="黑体" w:hAnsi="黑体" w:eastAsia="黑体" w:cs="黑体"/>
          <w:lang w:eastAsia="zh-CN"/>
        </w:rPr>
        <w:fldChar w:fldCharType="begin"/>
      </w:r>
      <w:r>
        <w:rPr>
          <w:rFonts w:hint="eastAsia" w:ascii="黑体" w:hAnsi="黑体" w:eastAsia="黑体" w:cs="黑体"/>
          <w:lang w:eastAsia="zh-CN"/>
        </w:rPr>
        <w:instrText xml:space="preserve"> HYPERLINK \l _Toc2061827505 </w:instrText>
      </w:r>
      <w:r>
        <w:rPr>
          <w:rFonts w:hint="eastAsia" w:ascii="黑体" w:hAnsi="黑体" w:eastAsia="黑体" w:cs="黑体"/>
          <w:lang w:eastAsia="zh-CN"/>
        </w:rPr>
        <w:fldChar w:fldCharType="separate"/>
      </w:r>
      <w:r>
        <w:rPr>
          <w:rFonts w:hint="eastAsia" w:ascii="黑体" w:hAnsi="黑体" w:eastAsia="黑体" w:cs="黑体"/>
          <w:lang w:eastAsia="zh-CN"/>
        </w:rPr>
        <w:t>第一章</w:t>
      </w:r>
      <w:r>
        <w:rPr>
          <w:rFonts w:hint="eastAsia" w:ascii="黑体" w:hAnsi="黑体" w:eastAsia="黑体" w:cs="黑体"/>
          <w:lang w:val="en-US" w:eastAsia="zh-CN"/>
        </w:rPr>
        <w:t xml:space="preserve">  总则</w:t>
      </w:r>
      <w:r>
        <w:tab/>
      </w:r>
      <w:r>
        <w:fldChar w:fldCharType="begin"/>
      </w:r>
      <w:r>
        <w:instrText xml:space="preserve"> PAGEREF _Toc2061827505 \h </w:instrText>
      </w:r>
      <w:r>
        <w:fldChar w:fldCharType="separate"/>
      </w:r>
      <w:r>
        <w:t>3</w:t>
      </w:r>
      <w:r>
        <w:fldChar w:fldCharType="end"/>
      </w:r>
      <w:r>
        <w:rPr>
          <w:rFonts w:hint="eastAsia" w:ascii="黑体" w:hAnsi="黑体" w:eastAsia="黑体" w:cs="黑体"/>
          <w:lang w:eastAsia="zh-CN"/>
        </w:rPr>
        <w:fldChar w:fldCharType="end"/>
      </w:r>
    </w:p>
    <w:p w14:paraId="6B6A5247">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firstLine="0" w:firstLineChars="0"/>
        <w:textAlignment w:val="auto"/>
      </w:pPr>
      <w:r>
        <w:rPr>
          <w:rFonts w:hint="eastAsia" w:ascii="黑体" w:hAnsi="黑体" w:eastAsia="黑体" w:cs="黑体"/>
          <w:lang w:eastAsia="zh-CN"/>
        </w:rPr>
        <w:fldChar w:fldCharType="begin"/>
      </w:r>
      <w:r>
        <w:rPr>
          <w:rFonts w:hint="eastAsia" w:ascii="黑体" w:hAnsi="黑体" w:eastAsia="黑体" w:cs="黑体"/>
          <w:lang w:eastAsia="zh-CN"/>
        </w:rPr>
        <w:instrText xml:space="preserve"> HYPERLINK \l _Toc420129541 </w:instrText>
      </w:r>
      <w:r>
        <w:rPr>
          <w:rFonts w:hint="eastAsia" w:ascii="黑体" w:hAnsi="黑体" w:eastAsia="黑体" w:cs="黑体"/>
          <w:lang w:eastAsia="zh-CN"/>
        </w:rPr>
        <w:fldChar w:fldCharType="separate"/>
      </w:r>
      <w:r>
        <w:rPr>
          <w:rFonts w:hint="eastAsia" w:ascii="黑体" w:hAnsi="黑体" w:eastAsia="黑体" w:cs="黑体"/>
          <w:lang w:val="en-US" w:eastAsia="zh-CN"/>
        </w:rPr>
        <w:t>第二章  移交前工作衔接</w:t>
      </w:r>
      <w:r>
        <w:tab/>
      </w:r>
      <w:r>
        <w:fldChar w:fldCharType="begin"/>
      </w:r>
      <w:r>
        <w:instrText xml:space="preserve"> PAGEREF _Toc420129541 \h </w:instrText>
      </w:r>
      <w:r>
        <w:fldChar w:fldCharType="separate"/>
      </w:r>
      <w:r>
        <w:t>6</w:t>
      </w:r>
      <w:r>
        <w:fldChar w:fldCharType="end"/>
      </w:r>
      <w:r>
        <w:rPr>
          <w:rFonts w:hint="eastAsia" w:ascii="黑体" w:hAnsi="黑体" w:eastAsia="黑体" w:cs="黑体"/>
          <w:lang w:eastAsia="zh-CN"/>
        </w:rPr>
        <w:fldChar w:fldCharType="end"/>
      </w:r>
    </w:p>
    <w:p w14:paraId="399A896F">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firstLine="0" w:firstLineChars="0"/>
        <w:textAlignment w:val="auto"/>
      </w:pPr>
      <w:r>
        <w:rPr>
          <w:rFonts w:hint="eastAsia" w:ascii="黑体" w:hAnsi="黑体" w:eastAsia="黑体" w:cs="黑体"/>
          <w:lang w:eastAsia="zh-CN"/>
        </w:rPr>
        <w:fldChar w:fldCharType="begin"/>
      </w:r>
      <w:r>
        <w:rPr>
          <w:rFonts w:hint="eastAsia" w:ascii="黑体" w:hAnsi="黑体" w:eastAsia="黑体" w:cs="黑体"/>
          <w:lang w:eastAsia="zh-CN"/>
        </w:rPr>
        <w:instrText xml:space="preserve"> HYPERLINK \l _Toc1944097189 </w:instrText>
      </w:r>
      <w:r>
        <w:rPr>
          <w:rFonts w:hint="eastAsia" w:ascii="黑体" w:hAnsi="黑体" w:eastAsia="黑体" w:cs="黑体"/>
          <w:lang w:eastAsia="zh-CN"/>
        </w:rPr>
        <w:fldChar w:fldCharType="separate"/>
      </w:r>
      <w:r>
        <w:rPr>
          <w:rFonts w:hint="eastAsia" w:ascii="黑体" w:hAnsi="黑体" w:eastAsia="黑体" w:cs="黑体"/>
          <w:lang w:val="en-US" w:eastAsia="zh-CN"/>
        </w:rPr>
        <w:t>第三章  移交管理</w:t>
      </w:r>
      <w:r>
        <w:tab/>
      </w:r>
      <w:r>
        <w:fldChar w:fldCharType="begin"/>
      </w:r>
      <w:r>
        <w:instrText xml:space="preserve"> PAGEREF _Toc1944097189 \h </w:instrText>
      </w:r>
      <w:r>
        <w:fldChar w:fldCharType="separate"/>
      </w:r>
      <w:r>
        <w:t>7</w:t>
      </w:r>
      <w:r>
        <w:fldChar w:fldCharType="end"/>
      </w:r>
      <w:r>
        <w:rPr>
          <w:rFonts w:hint="eastAsia" w:ascii="黑体" w:hAnsi="黑体" w:eastAsia="黑体" w:cs="黑体"/>
          <w:lang w:eastAsia="zh-CN"/>
        </w:rPr>
        <w:fldChar w:fldCharType="end"/>
      </w:r>
    </w:p>
    <w:p w14:paraId="62DFF56A">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firstLine="0" w:firstLineChars="0"/>
        <w:textAlignment w:val="auto"/>
      </w:pPr>
      <w:r>
        <w:rPr>
          <w:rFonts w:hint="eastAsia" w:ascii="黑体" w:hAnsi="黑体" w:eastAsia="黑体" w:cs="黑体"/>
          <w:lang w:eastAsia="zh-CN"/>
        </w:rPr>
        <w:fldChar w:fldCharType="begin"/>
      </w:r>
      <w:r>
        <w:rPr>
          <w:rFonts w:hint="eastAsia" w:ascii="黑体" w:hAnsi="黑体" w:eastAsia="黑体" w:cs="黑体"/>
          <w:lang w:eastAsia="zh-CN"/>
        </w:rPr>
        <w:instrText xml:space="preserve"> HYPERLINK \l _Toc1334212424 </w:instrText>
      </w:r>
      <w:r>
        <w:rPr>
          <w:rFonts w:hint="eastAsia" w:ascii="黑体" w:hAnsi="黑体" w:eastAsia="黑体" w:cs="黑体"/>
          <w:lang w:eastAsia="zh-CN"/>
        </w:rPr>
        <w:fldChar w:fldCharType="separate"/>
      </w:r>
      <w:r>
        <w:rPr>
          <w:rFonts w:hint="eastAsia" w:ascii="黑体" w:hAnsi="黑体" w:eastAsia="黑体" w:cs="黑体"/>
          <w:lang w:val="en-US" w:eastAsia="zh-CN"/>
        </w:rPr>
        <w:t>第四章  管理与责任</w:t>
      </w:r>
      <w:r>
        <w:tab/>
      </w:r>
      <w:r>
        <w:fldChar w:fldCharType="begin"/>
      </w:r>
      <w:r>
        <w:instrText xml:space="preserve"> PAGEREF _Toc1334212424 \h </w:instrText>
      </w:r>
      <w:r>
        <w:fldChar w:fldCharType="separate"/>
      </w:r>
      <w:r>
        <w:t>11</w:t>
      </w:r>
      <w:r>
        <w:fldChar w:fldCharType="end"/>
      </w:r>
      <w:r>
        <w:rPr>
          <w:rFonts w:hint="eastAsia" w:ascii="黑体" w:hAnsi="黑体" w:eastAsia="黑体" w:cs="黑体"/>
          <w:lang w:eastAsia="zh-CN"/>
        </w:rPr>
        <w:fldChar w:fldCharType="end"/>
      </w:r>
    </w:p>
    <w:p w14:paraId="6DA92887">
      <w:pPr>
        <w:pStyle w:val="6"/>
        <w:keepNext w:val="0"/>
        <w:keepLines w:val="0"/>
        <w:pageBreakBefore w:val="0"/>
        <w:widowControl w:val="0"/>
        <w:tabs>
          <w:tab w:val="right" w:leader="dot" w:pos="8306"/>
        </w:tabs>
        <w:kinsoku/>
        <w:wordWrap/>
        <w:overflowPunct/>
        <w:topLinePunct w:val="0"/>
        <w:autoSpaceDE/>
        <w:autoSpaceDN/>
        <w:bidi w:val="0"/>
        <w:adjustRightInd/>
        <w:snapToGrid/>
        <w:spacing w:line="720" w:lineRule="auto"/>
        <w:ind w:firstLine="0" w:firstLineChars="0"/>
        <w:textAlignment w:val="auto"/>
      </w:pPr>
      <w:r>
        <w:rPr>
          <w:rFonts w:hint="eastAsia" w:ascii="黑体" w:hAnsi="黑体" w:eastAsia="黑体" w:cs="黑体"/>
          <w:lang w:eastAsia="zh-CN"/>
        </w:rPr>
        <w:fldChar w:fldCharType="begin"/>
      </w:r>
      <w:r>
        <w:rPr>
          <w:rFonts w:hint="eastAsia" w:ascii="黑体" w:hAnsi="黑体" w:eastAsia="黑体" w:cs="黑体"/>
          <w:lang w:eastAsia="zh-CN"/>
        </w:rPr>
        <w:instrText xml:space="preserve"> HYPERLINK \l _Toc2133106570 </w:instrText>
      </w:r>
      <w:r>
        <w:rPr>
          <w:rFonts w:hint="eastAsia" w:ascii="黑体" w:hAnsi="黑体" w:eastAsia="黑体" w:cs="黑体"/>
          <w:lang w:eastAsia="zh-CN"/>
        </w:rPr>
        <w:fldChar w:fldCharType="separate"/>
      </w:r>
      <w:r>
        <w:rPr>
          <w:rFonts w:hint="eastAsia" w:ascii="黑体" w:hAnsi="黑体" w:eastAsia="黑体" w:cs="黑体"/>
          <w:lang w:val="en-US" w:eastAsia="zh-CN"/>
        </w:rPr>
        <w:t>第五章  附则</w:t>
      </w:r>
      <w:r>
        <w:tab/>
      </w:r>
      <w:r>
        <w:fldChar w:fldCharType="begin"/>
      </w:r>
      <w:r>
        <w:instrText xml:space="preserve"> PAGEREF _Toc2133106570 \h </w:instrText>
      </w:r>
      <w:r>
        <w:fldChar w:fldCharType="separate"/>
      </w:r>
      <w:r>
        <w:t>12</w:t>
      </w:r>
      <w:r>
        <w:fldChar w:fldCharType="end"/>
      </w:r>
      <w:r>
        <w:rPr>
          <w:rFonts w:hint="eastAsia" w:ascii="黑体" w:hAnsi="黑体" w:eastAsia="黑体" w:cs="黑体"/>
          <w:lang w:eastAsia="zh-CN"/>
        </w:rPr>
        <w:fldChar w:fldCharType="end"/>
      </w:r>
    </w:p>
    <w:p w14:paraId="6D565CF4">
      <w:pPr>
        <w:keepNext w:val="0"/>
        <w:keepLines w:val="0"/>
        <w:pageBreakBefore w:val="0"/>
        <w:widowControl w:val="0"/>
        <w:kinsoku/>
        <w:wordWrap/>
        <w:overflowPunct/>
        <w:topLinePunct w:val="0"/>
        <w:autoSpaceDE/>
        <w:autoSpaceDN/>
        <w:bidi w:val="0"/>
        <w:adjustRightInd/>
        <w:snapToGrid/>
        <w:spacing w:line="720" w:lineRule="auto"/>
        <w:ind w:firstLine="0" w:firstLineChars="0"/>
        <w:jc w:val="left"/>
        <w:textAlignment w:val="auto"/>
        <w:outlineLvl w:val="9"/>
        <w:rPr>
          <w:rFonts w:hint="eastAsia" w:ascii="黑体" w:hAnsi="黑体" w:eastAsia="黑体" w:cs="黑体"/>
          <w:b/>
          <w:lang w:eastAsia="zh-CN"/>
        </w:rPr>
        <w:sectPr>
          <w:footerReference r:id="rId3" w:type="default"/>
          <w:pgSz w:w="11906" w:h="16838"/>
          <w:pgMar w:top="1440" w:right="1800" w:bottom="1440" w:left="1800" w:header="851" w:footer="992" w:gutter="0"/>
          <w:pgNumType w:fmt="upperRoman" w:start="1"/>
          <w:cols w:space="720" w:num="1"/>
          <w:docGrid w:type="lines" w:linePitch="312" w:charSpace="0"/>
        </w:sectPr>
      </w:pPr>
      <w:r>
        <w:rPr>
          <w:rFonts w:hint="eastAsia" w:ascii="黑体" w:hAnsi="黑体" w:eastAsia="黑体" w:cs="黑体"/>
          <w:lang w:eastAsia="zh-CN"/>
        </w:rPr>
        <w:fldChar w:fldCharType="end"/>
      </w:r>
    </w:p>
    <w:p w14:paraId="0CCFC99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1" w:name="_Toc1454712557"/>
      <w:bookmarkStart w:id="2" w:name="_Toc1182697996"/>
      <w:r>
        <w:rPr>
          <w:rFonts w:hint="eastAsia" w:ascii="方正小标宋简体" w:hAnsi="方正小标宋简体" w:eastAsia="方正小标宋简体" w:cs="方正小标宋简体"/>
          <w:sz w:val="44"/>
          <w:szCs w:val="44"/>
          <w:lang w:eastAsia="zh-CN"/>
        </w:rPr>
        <w:t>湛江市市政公用设施移交管理办法</w:t>
      </w:r>
    </w:p>
    <w:p w14:paraId="33DE9C41">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0"/>
        <w:rPr>
          <w:rFonts w:hint="eastAsia" w:ascii="黑体" w:hAnsi="黑体" w:eastAsia="黑体" w:cs="黑体"/>
          <w:lang w:eastAsia="zh-CN"/>
        </w:rPr>
      </w:pPr>
    </w:p>
    <w:p w14:paraId="5AB7422B">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黑体" w:hAnsi="黑体" w:eastAsia="黑体" w:cs="黑体"/>
          <w:lang w:val="en-US" w:eastAsia="zh-CN"/>
        </w:rPr>
      </w:pPr>
      <w:bookmarkStart w:id="3" w:name="_Toc501030309"/>
      <w:bookmarkStart w:id="4" w:name="_Toc2061827505"/>
      <w:r>
        <w:rPr>
          <w:rFonts w:hint="eastAsia" w:ascii="黑体" w:hAnsi="黑体" w:eastAsia="黑体" w:cs="黑体"/>
          <w:lang w:eastAsia="zh-CN"/>
        </w:rPr>
        <w:t>第一章</w:t>
      </w:r>
      <w:r>
        <w:rPr>
          <w:rFonts w:hint="eastAsia" w:ascii="黑体" w:hAnsi="黑体" w:eastAsia="黑体" w:cs="黑体"/>
          <w:lang w:val="en-US" w:eastAsia="zh-CN"/>
        </w:rPr>
        <w:t xml:space="preserve">  总则</w:t>
      </w:r>
      <w:bookmarkEnd w:id="0"/>
      <w:bookmarkEnd w:id="1"/>
      <w:bookmarkEnd w:id="2"/>
      <w:bookmarkEnd w:id="3"/>
      <w:bookmarkEnd w:id="4"/>
    </w:p>
    <w:p w14:paraId="5EA70C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lang w:val="en-US" w:eastAsia="zh-CN"/>
        </w:rPr>
      </w:pPr>
      <w:bookmarkStart w:id="5" w:name="_Toc369229051"/>
      <w:bookmarkStart w:id="6" w:name="_Toc333788508"/>
      <w:r>
        <w:rPr>
          <w:rStyle w:val="9"/>
          <w:rFonts w:hint="eastAsia"/>
          <w:lang w:val="en-US" w:eastAsia="zh-CN"/>
        </w:rPr>
        <w:t>第一条</w:t>
      </w:r>
      <w:bookmarkEnd w:id="5"/>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为规范本市市政公用设施移交管理行为，明确交接双方职责，健全交接机制。根据《中华人民共和国建筑法》《中华人民共和国道路交通安全法》《建设工程质量管理条例》《城市道路管理条例》《城市绿化条例》《城市照明管理规定》等相关法律法规，结合本市实际情况，制定本办法。</w:t>
      </w:r>
      <w:bookmarkEnd w:id="6"/>
    </w:p>
    <w:p w14:paraId="6DFCA68A">
      <w:pPr>
        <w:keepNext w:val="0"/>
        <w:keepLines w:val="0"/>
        <w:pageBreakBefore w:val="0"/>
        <w:widowControl w:val="0"/>
        <w:tabs>
          <w:tab w:val="left" w:pos="0"/>
          <w:tab w:val="left" w:leader="dot" w:pos="105"/>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7" w:name="_Toc1650487141"/>
      <w:bookmarkStart w:id="8" w:name="_Toc2095746185"/>
      <w:r>
        <w:rPr>
          <w:rStyle w:val="9"/>
          <w:rFonts w:hint="eastAsia"/>
          <w:lang w:val="en-US" w:eastAsia="zh-CN"/>
        </w:rPr>
        <w:t>第二条</w:t>
      </w:r>
      <w:bookmarkEnd w:id="7"/>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本市中心城区范围内由政府投资（或部分投资）新建、扩建、改建或土地开发、老旧小区改造等规划明确配套建设，建成后需要市财政出资负担养护管理的市政公用设施，其移交接收适用本办法。</w:t>
      </w:r>
      <w:bookmarkEnd w:id="8"/>
    </w:p>
    <w:p w14:paraId="272EE3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非财政投资建设的市政公用设施需移交养护管理的，由投资建设单位向市政府提出书面申请，经市政府批准同意后，适用本办法。</w:t>
      </w:r>
    </w:p>
    <w:p w14:paraId="121F5E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非市政类公用设施需要移交管理的，由移交单位对设施进行市政化改造后再向市政府提出书面申请，经市政府批准同意后，按本办法移交。</w:t>
      </w:r>
    </w:p>
    <w:p w14:paraId="023306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9" w:name="_Toc1982537708"/>
      <w:bookmarkStart w:id="10" w:name="_Toc173530400"/>
      <w:r>
        <w:rPr>
          <w:rStyle w:val="9"/>
          <w:rFonts w:hint="eastAsia"/>
          <w:lang w:val="en-US" w:eastAsia="zh-CN"/>
        </w:rPr>
        <w:t>第三条</w:t>
      </w:r>
      <w:bookmarkEnd w:id="9"/>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本办法所称市政公用设施：</w:t>
      </w:r>
      <w:bookmarkEnd w:id="10"/>
    </w:p>
    <w:p w14:paraId="6696DF4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（一）市政道路设施：车行道、人行道、路肩等；</w:t>
      </w:r>
    </w:p>
    <w:p w14:paraId="20F7F97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（二）桥梁设施：跨河桥、人行天桥、涵洞等；</w:t>
      </w:r>
    </w:p>
    <w:p w14:paraId="62F783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（三）排水设施：污水管道、雨水管道、明渠、暗渠、暗涵、泵站等；</w:t>
      </w:r>
    </w:p>
    <w:p w14:paraId="0CA9566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（四）城市照明设施：用于照明的配电室、变压器、配电箱、灯杆、灯具、管线、工作井、监控系统等；</w:t>
      </w:r>
    </w:p>
    <w:p w14:paraId="7AB67F3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（五）园林绿化设施：公园绿地、行道树、园林小品、喷淋设施等；</w:t>
      </w:r>
    </w:p>
    <w:p w14:paraId="5EBF726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（六）环境卫生设施及保洁设施：城市道路附属果皮箱、公共厕所、垃圾转运站等；</w:t>
      </w:r>
    </w:p>
    <w:p w14:paraId="542697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（七）交通设施：交通信号灯、交通标志、交通标线等；</w:t>
      </w:r>
    </w:p>
    <w:p w14:paraId="7C3369D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（八）城市防洪设施：闸坝、防洪渠、蓄洪池等；</w:t>
      </w:r>
    </w:p>
    <w:p w14:paraId="1D9BEEB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（九）需移交的其他市政公用设施。</w:t>
      </w:r>
    </w:p>
    <w:p w14:paraId="65E8943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11" w:name="_Toc60663416"/>
      <w:bookmarkStart w:id="12" w:name="_Toc409361756"/>
      <w:r>
        <w:rPr>
          <w:rStyle w:val="9"/>
          <w:rFonts w:hint="eastAsia"/>
          <w:lang w:val="en-US" w:eastAsia="zh-CN"/>
        </w:rPr>
        <w:t>第四条</w:t>
      </w:r>
      <w:bookmarkEnd w:id="11"/>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中心城区范围内市政公用设施养护管理区域划分：</w:t>
      </w:r>
      <w:bookmarkEnd w:id="12"/>
    </w:p>
    <w:p w14:paraId="655BF0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赤坎、霞山、麻章、坡头区行政区域范围内市政道路、桥梁、排水、城市照明、园林绿化设施，由辖区政府和市城市管理和综合执法局按湛江市城市执法体制改革市政设施事权移交管理要求，分别按职责养护管理。环境卫生设施及保洁设施等其他设施，保持现有养护管理模式不变。</w:t>
      </w:r>
    </w:p>
    <w:p w14:paraId="7697569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湛江经济技术开发区管理委员会、湛江海东新区管理委员会负责本行政区域范围内全部市政道路、桥梁、排水、城市照明、园林绿化设施的养护管理。环境卫生设施及保洁设施等其他设施，保持现有养护管理模式不变。</w:t>
      </w:r>
    </w:p>
    <w:p w14:paraId="3EC175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13" w:name="_Toc216348897"/>
      <w:bookmarkStart w:id="14" w:name="_Toc812059296"/>
      <w:r>
        <w:rPr>
          <w:rStyle w:val="9"/>
          <w:rFonts w:hint="eastAsia"/>
          <w:lang w:val="en-US" w:eastAsia="zh-CN"/>
        </w:rPr>
        <w:t>第五条</w:t>
      </w:r>
      <w:bookmarkEnd w:id="13"/>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市政公用设施移交，按照“谁建设、谁移交”的原则。政府投资（或部分投资）新建、扩建、改建市政公用设施，由项目建设单位作为移交主体。土地开发、老旧小区改造等规划明确配套建设市政公用设施，由项目监管单位作为移交主体。非财政投资建设的市政公用设施由投资建设单位作为移交主体。无法明确移交主体的需报请市政府明确移交主体。以上移交主体应作为市政公共设施移交牵头单位（以下简称“移交单位”）履行组织移交职责。</w:t>
      </w:r>
      <w:bookmarkEnd w:id="14"/>
    </w:p>
    <w:p w14:paraId="1D7B53A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15" w:name="_Toc564455513"/>
      <w:bookmarkStart w:id="16" w:name="_Toc1944021053"/>
      <w:r>
        <w:rPr>
          <w:rStyle w:val="9"/>
          <w:rFonts w:hint="eastAsia"/>
          <w:lang w:val="en-US" w:eastAsia="zh-CN"/>
        </w:rPr>
        <w:t>第六条</w:t>
      </w:r>
      <w:bookmarkEnd w:id="15"/>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住房和城乡建设、城市管理和综合执法、交通运输、水务、</w:t>
      </w:r>
      <w:r>
        <w:rPr>
          <w:rFonts w:hint="eastAsia" w:ascii="仿宋_GB2312" w:hAnsi="仿宋_GB2312" w:eastAsia="仿宋_GB2312" w:cs="仿宋_GB2312"/>
          <w:sz w:val="32"/>
        </w:rPr>
        <w:t>公安机关交通管理</w:t>
      </w:r>
      <w:r>
        <w:rPr>
          <w:rFonts w:hint="eastAsia" w:ascii="仿宋_GB2312" w:hAnsi="仿宋_GB2312" w:eastAsia="仿宋_GB2312" w:cs="仿宋_GB2312"/>
          <w:sz w:val="32"/>
          <w:lang w:eastAsia="zh-CN"/>
        </w:rPr>
        <w:t>等</w:t>
      </w:r>
      <w:r>
        <w:rPr>
          <w:rFonts w:hint="eastAsia" w:ascii="仿宋_GB2312" w:hAnsi="仿宋_GB2312" w:eastAsia="仿宋_GB2312" w:cs="仿宋_GB2312"/>
          <w:sz w:val="32"/>
        </w:rPr>
        <w:t>部门</w:t>
      </w:r>
      <w:r>
        <w:rPr>
          <w:rFonts w:hint="eastAsia" w:ascii="仿宋_GB2312" w:hAnsi="仿宋_GB2312" w:eastAsia="仿宋_GB2312" w:cs="仿宋_GB2312"/>
          <w:sz w:val="32"/>
          <w:lang w:eastAsia="zh-CN"/>
        </w:rPr>
        <w:t>以及各区人民政府、管委会作为</w:t>
      </w:r>
      <w:r>
        <w:rPr>
          <w:rFonts w:hint="eastAsia" w:ascii="仿宋_GB2312" w:hAnsi="仿宋_GB2312" w:eastAsia="仿宋_GB2312" w:cs="仿宋_GB2312"/>
          <w:lang w:val="en-US" w:eastAsia="zh-CN"/>
        </w:rPr>
        <w:t>市政公用设施接收主体（以下简称“接收单位”），按照各自职责，牵头做好市政公用设施接收和确认养护管理单位的工作。</w:t>
      </w:r>
      <w:bookmarkEnd w:id="16"/>
    </w:p>
    <w:p w14:paraId="6BF598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赤坎、霞山、麻章、坡头区人民政府牵头或指定部门组织本行政区域范围内环境卫生设施及保洁设施，道路红线宽度25米以下市政道路及附属桥梁、排水等设施，城市照明设施，园林绿化设施的接收并确定养护管理单位。</w:t>
      </w:r>
    </w:p>
    <w:p w14:paraId="362506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湛江经济技术开发区管理委员会、湛江海东新区管理委员会牵头或指定部门组织本行政区域范围内环境卫生设施及保洁设施，市政道路及其附属桥梁、排水等设施、城市照明设施、园林绿化设施的接收并确定养护管理单位。</w:t>
      </w:r>
    </w:p>
    <w:p w14:paraId="1F37020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市城市管理和综合执法局负责牵头组织赤坎、霞山、麻章、坡头区行政区域范围道路红线宽度25米以上（含25米）市政道路及附属桥梁、排水等设施，城市照明设施，园林绿化设施的接收并确定养护管理单位。</w:t>
      </w:r>
    </w:p>
    <w:p w14:paraId="54DA452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（四）市公安局交警支队负责牵头组织中心城区范围内交通设施的接收并确定养护管理单位。</w:t>
      </w:r>
    </w:p>
    <w:p w14:paraId="54B37B8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（五）市水务局负责牵头组织中心城区范围内城市防洪设施的接收并确定养护管理单位。</w:t>
      </w:r>
    </w:p>
    <w:p w14:paraId="444FBF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（六）市政府明确接收、养护管理单位的，按市政府文件执行。无法明确接收、养护管理单位的，由移交单位向市政府提出书面申请，经市政府批准同意后，确定接收、养护管理单位。</w:t>
      </w:r>
    </w:p>
    <w:p w14:paraId="5C9B0A6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黑体" w:hAnsi="黑体" w:eastAsia="黑体" w:cs="黑体"/>
          <w:lang w:val="en-US" w:eastAsia="zh-CN"/>
        </w:rPr>
      </w:pPr>
      <w:bookmarkStart w:id="17" w:name="_Toc2016177909"/>
      <w:bookmarkStart w:id="18" w:name="_Toc420129541"/>
      <w:bookmarkStart w:id="19" w:name="_Toc976251584"/>
      <w:bookmarkStart w:id="20" w:name="_Toc1430084211"/>
      <w:bookmarkStart w:id="21" w:name="_Toc1401560108"/>
      <w:r>
        <w:rPr>
          <w:rFonts w:hint="eastAsia" w:ascii="黑体" w:hAnsi="黑体" w:eastAsia="黑体" w:cs="黑体"/>
          <w:lang w:val="en-US" w:eastAsia="zh-CN"/>
        </w:rPr>
        <w:t>第二章  移交前工作衔接</w:t>
      </w:r>
      <w:bookmarkEnd w:id="17"/>
      <w:bookmarkEnd w:id="18"/>
      <w:bookmarkEnd w:id="19"/>
      <w:bookmarkEnd w:id="20"/>
      <w:bookmarkEnd w:id="21"/>
    </w:p>
    <w:p w14:paraId="68714C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22" w:name="_Toc394034898"/>
      <w:bookmarkStart w:id="23" w:name="_Toc1719009197"/>
      <w:r>
        <w:rPr>
          <w:rStyle w:val="9"/>
          <w:rFonts w:hint="eastAsia"/>
          <w:lang w:val="en-US" w:eastAsia="zh-CN"/>
        </w:rPr>
        <w:t>第七条</w:t>
      </w:r>
      <w:bookmarkEnd w:id="22"/>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各级自然资源、住房和城乡建设等部门应当在规划、设计、建设、验收等环节就设施移交后的使用、养护管理等事项，提前征求接收、养护管理单位意见，共同完善项目设计等内容。</w:t>
      </w:r>
      <w:bookmarkEnd w:id="23"/>
    </w:p>
    <w:p w14:paraId="74D91D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24" w:name="_Toc648756644"/>
      <w:bookmarkStart w:id="25" w:name="_Toc1176540939"/>
      <w:r>
        <w:rPr>
          <w:rStyle w:val="9"/>
          <w:rFonts w:hint="eastAsia"/>
          <w:lang w:val="en-US" w:eastAsia="zh-CN"/>
        </w:rPr>
        <w:t>第八条</w:t>
      </w:r>
      <w:bookmarkEnd w:id="24"/>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移交单位在项目施工中标通知书发出后30个工作日内函告接收单位，办理移交备案手续。并提供以下资料：</w:t>
      </w:r>
      <w:bookmarkEnd w:id="25"/>
    </w:p>
    <w:p w14:paraId="17DF3C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（一）工程名称、位置、结构、规模、工期、附属设施等工程概况；</w:t>
      </w:r>
    </w:p>
    <w:p w14:paraId="44F9056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（二）建设单位名称、法人代表等基本情况；</w:t>
      </w:r>
    </w:p>
    <w:p w14:paraId="5E063C1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（三）勘查、设计、施工、监理等单位的相关资质情况；</w:t>
      </w:r>
    </w:p>
    <w:p w14:paraId="53A6E5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（四）建设项目施工图和工程地理位置平面图及总平面图；</w:t>
      </w:r>
    </w:p>
    <w:p w14:paraId="23AA8A3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（五）工程规划许可及相应附件。</w:t>
      </w:r>
    </w:p>
    <w:p w14:paraId="5B0EBC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26" w:name="_Toc539282328"/>
      <w:bookmarkStart w:id="27" w:name="_Toc1441001186"/>
      <w:r>
        <w:rPr>
          <w:rStyle w:val="9"/>
          <w:rFonts w:hint="eastAsia"/>
          <w:lang w:val="en-US" w:eastAsia="zh-CN"/>
        </w:rPr>
        <w:t>第九条</w:t>
      </w:r>
      <w:bookmarkEnd w:id="26"/>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接收单位在收到备案材料后应当及时确定养护管理单位。并自收到备案材料之日起20个工作日内书面告知移交单位下列事项：</w:t>
      </w:r>
      <w:bookmarkEnd w:id="27"/>
    </w:p>
    <w:p w14:paraId="702C0CE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（一）已经确定养护管理单位的，提供养护管理单位的单位名称、办公地址和联系方式；</w:t>
      </w:r>
    </w:p>
    <w:p w14:paraId="62A2B4F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（二）该项目市政公用设施接收的相关要求。</w:t>
      </w:r>
    </w:p>
    <w:p w14:paraId="7DCECE3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（三）该项目建设过程中需要接收、养护管理单位参与的事项。</w:t>
      </w:r>
    </w:p>
    <w:p w14:paraId="295372B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接收单位不能及时确定养护管理单位的，由接收单位代为参与建设过程中的相关事项。</w:t>
      </w:r>
    </w:p>
    <w:p w14:paraId="222AFC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28" w:name="_Toc1355121011"/>
      <w:bookmarkStart w:id="29" w:name="_Toc873454057"/>
      <w:r>
        <w:rPr>
          <w:rStyle w:val="9"/>
          <w:rFonts w:hint="eastAsia"/>
          <w:lang w:val="en-US" w:eastAsia="zh-CN"/>
        </w:rPr>
        <w:t>第十条</w:t>
      </w:r>
      <w:bookmarkEnd w:id="28"/>
      <w:r>
        <w:rPr>
          <w:rFonts w:hint="eastAsia" w:ascii="黑体" w:hAnsi="黑体" w:eastAsia="黑体" w:cs="黑体"/>
          <w:lang w:val="en-US" w:eastAsia="zh-CN"/>
        </w:rPr>
        <w:t xml:space="preserve">  </w:t>
      </w:r>
      <w:bookmarkEnd w:id="29"/>
      <w:r>
        <w:rPr>
          <w:rFonts w:hint="eastAsia" w:ascii="仿宋_GB2312" w:hAnsi="仿宋_GB2312" w:eastAsia="仿宋_GB2312" w:cs="仿宋_GB2312"/>
          <w:lang w:val="en-US" w:eastAsia="zh-CN"/>
        </w:rPr>
        <w:t>移交单位在项目实施过程中可以邀请接收、养护管理单位参与项目可研编制、初步设计、施工交底以及竣工验收等环节。在项目施工过程中，发生工程质量问题和事故的或发现足以对养护管理产生不良影响问题的，应当连同处理情况及时书面告知接收、养护管理单位。发生对养护管理产生影响的重大变更的应当书面告知接收、养护管理单位并征求意见。</w:t>
      </w:r>
    </w:p>
    <w:p w14:paraId="6DD10CB3">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黑体" w:hAnsi="黑体" w:eastAsia="黑体" w:cs="黑体"/>
          <w:lang w:val="en-US" w:eastAsia="zh-CN"/>
        </w:rPr>
      </w:pPr>
      <w:bookmarkStart w:id="30" w:name="_Toc1577668061"/>
      <w:bookmarkStart w:id="31" w:name="_Toc910496585"/>
      <w:bookmarkStart w:id="32" w:name="_Toc1964961051"/>
      <w:bookmarkStart w:id="33" w:name="_Toc1944097189"/>
      <w:bookmarkStart w:id="34" w:name="_Toc27659537"/>
      <w:r>
        <w:rPr>
          <w:rFonts w:hint="eastAsia" w:ascii="黑体" w:hAnsi="黑体" w:eastAsia="黑体" w:cs="黑体"/>
          <w:lang w:val="en-US" w:eastAsia="zh-CN"/>
        </w:rPr>
        <w:t>第三章  移交管理</w:t>
      </w:r>
      <w:bookmarkEnd w:id="30"/>
      <w:bookmarkEnd w:id="31"/>
      <w:bookmarkEnd w:id="32"/>
      <w:bookmarkEnd w:id="33"/>
      <w:bookmarkEnd w:id="34"/>
    </w:p>
    <w:p w14:paraId="347D90F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35" w:name="_Toc578848826"/>
      <w:bookmarkStart w:id="36" w:name="_Toc2024362791"/>
      <w:r>
        <w:rPr>
          <w:rStyle w:val="9"/>
          <w:rFonts w:hint="eastAsia"/>
          <w:lang w:val="en-US" w:eastAsia="zh-CN"/>
        </w:rPr>
        <w:t>第十一条</w:t>
      </w:r>
      <w:bookmarkEnd w:id="35"/>
      <w:bookmarkEnd w:id="36"/>
      <w:bookmarkStart w:id="37" w:name="_Toc436110819"/>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移交市政公用设施应具备以下条件：</w:t>
      </w:r>
      <w:bookmarkEnd w:id="37"/>
    </w:p>
    <w:p w14:paraId="6C3C79F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（一）符合城市规划、相关设施专业规划、设计规范要求，并具有规划许可证、红线图、用地规划等可证明已符合规划的有效证明文件之一。</w:t>
      </w:r>
    </w:p>
    <w:p w14:paraId="3826F41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（二）符合国家、省、市关于市政道路、桥梁、排水、城市照明、园林绿化、环卫、交通等设施的验收标准以及工程质量要求的相关规定，通过竣工验收并完成工程备案手续；</w:t>
      </w:r>
    </w:p>
    <w:p w14:paraId="522B8E5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（三）工程竣工技术资料符合城建市政档案管理要求；</w:t>
      </w:r>
    </w:p>
    <w:p w14:paraId="3D51EA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（四）按规定签订工程质量保修书；</w:t>
      </w:r>
    </w:p>
    <w:p w14:paraId="47FA2A9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（五）采用新技术、新材料的，需要有养护作业指导资料；</w:t>
      </w:r>
    </w:p>
    <w:p w14:paraId="1BBE3A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（六）取得相关检测报告，不存在安全隐患，具备运行、养护和维修条件；</w:t>
      </w:r>
    </w:p>
    <w:p w14:paraId="52D4D7E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（七）依法应当满足的其他条件。</w:t>
      </w:r>
    </w:p>
    <w:p w14:paraId="614C5C82">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lang w:val="en-US" w:eastAsia="zh-CN"/>
        </w:rPr>
      </w:pPr>
      <w:bookmarkStart w:id="38" w:name="_Toc727450444"/>
      <w:bookmarkStart w:id="39" w:name="_Toc693020362"/>
      <w:r>
        <w:rPr>
          <w:rStyle w:val="9"/>
          <w:rFonts w:hint="eastAsia"/>
          <w:lang w:val="en-US" w:eastAsia="zh-CN"/>
        </w:rPr>
        <w:t>第十二条</w:t>
      </w:r>
      <w:bookmarkEnd w:id="38"/>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已备案的市政公用设施项目竣工验收前，移交单位应协调接收单位办理预移交手续。接收、管理养护单位对设施是否具备移交条件进行核查，对发现的问题由移交单位督促施工单位进行整改并记录在案。对不满足移交条件或没有完成整改的，项目应延期竣工验收。</w:t>
      </w:r>
      <w:bookmarkEnd w:id="39"/>
    </w:p>
    <w:p w14:paraId="0B5E66AA">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已备案的市政公用设施项目竣工验收时，移交单位应邀请接收、管理养护单位共同参与验收。对不符合竣工验收标准要求或不满足移交条件的，移交单位应督促施工单位进行整改并记录在案。</w:t>
      </w:r>
    </w:p>
    <w:p w14:paraId="76B4C90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40" w:name="_Toc389198372"/>
      <w:bookmarkStart w:id="41" w:name="_Toc2135610121"/>
      <w:r>
        <w:rPr>
          <w:rStyle w:val="9"/>
          <w:rFonts w:hint="eastAsia"/>
          <w:lang w:val="en-US" w:eastAsia="zh-CN"/>
        </w:rPr>
        <w:t>第十三条</w:t>
      </w:r>
      <w:bookmarkEnd w:id="40"/>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市政公用设施项目竣工验收后，移交单位应当在30个工作日内向接收单位提出移交申请并提供以下资料：</w:t>
      </w:r>
      <w:bookmarkEnd w:id="41"/>
    </w:p>
    <w:p w14:paraId="32FE19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（一）项目名称；</w:t>
      </w:r>
    </w:p>
    <w:p w14:paraId="77D1D34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（二）项目概况；</w:t>
      </w:r>
    </w:p>
    <w:p w14:paraId="121F41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（三）建设、施工、监理、设计单位名称；</w:t>
      </w:r>
    </w:p>
    <w:p w14:paraId="426C58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（四）开工、完工日期；</w:t>
      </w:r>
    </w:p>
    <w:p w14:paraId="253274D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（五）申请移交设施的内容及数量；</w:t>
      </w:r>
    </w:p>
    <w:p w14:paraId="00DC42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（六）项目竣工验收合格证书和竣工图纸等相关竣工验收资料。</w:t>
      </w:r>
    </w:p>
    <w:p w14:paraId="46DC71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42" w:name="_Toc35884465"/>
      <w:bookmarkStart w:id="43" w:name="_Toc1038595031"/>
      <w:r>
        <w:rPr>
          <w:rStyle w:val="9"/>
          <w:rFonts w:hint="eastAsia"/>
          <w:lang w:val="en-US" w:eastAsia="zh-CN"/>
        </w:rPr>
        <w:t>第十四条</w:t>
      </w:r>
      <w:bookmarkEnd w:id="42"/>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接收单位在收到移交申请后15个工作日内向移交单位出具市政公用设施移交受理通知书。在30个工作日内组织养护管理单位、财政部门等相关单位对移交的设施进行现场核准。</w:t>
      </w:r>
      <w:bookmarkEnd w:id="43"/>
    </w:p>
    <w:p w14:paraId="42B29FD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44" w:name="_Toc788359108"/>
      <w:bookmarkStart w:id="45" w:name="_Toc2033982645"/>
      <w:r>
        <w:rPr>
          <w:rStyle w:val="9"/>
          <w:rFonts w:hint="eastAsia"/>
          <w:lang w:val="en-US" w:eastAsia="zh-CN"/>
        </w:rPr>
        <w:t>第十五条</w:t>
      </w:r>
      <w:bookmarkEnd w:id="44"/>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市政公用设施经现场核准无异议、资料齐全、符合接收条件的，接收单位应在现场核准后15个工作日内向接收单位出具接收管理确认书。在出具接收管理确认书后30个工作日内，由养护管理单位与移交单位签订市政公用设施移交协议书。同时，移交单位向养护管理单位移交以下资料：</w:t>
      </w:r>
      <w:bookmarkEnd w:id="45"/>
    </w:p>
    <w:p w14:paraId="62FB88E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（一）全套、完整、反映实际的建设项目CAD格式竣工图电子光盘；</w:t>
      </w:r>
    </w:p>
    <w:p w14:paraId="0E002E5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（二）地质勘查及严密性检查相关资料（含排水设施等隐蔽工程的管道视频检测或管道潜望镜检测报告）；</w:t>
      </w:r>
    </w:p>
    <w:p w14:paraId="471CFBC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（三）工程质量保修书或项目维修承诺协议；</w:t>
      </w:r>
    </w:p>
    <w:p w14:paraId="2665FBC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（四）采用新技术、新材料的市政设施，提供养护作业指导资料。</w:t>
      </w:r>
    </w:p>
    <w:p w14:paraId="0A245A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（五）异型或定制产品，提供生产厂家和详细的技术参数；</w:t>
      </w:r>
    </w:p>
    <w:p w14:paraId="3114BC3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（六）其他养护管理必须的资料。</w:t>
      </w:r>
    </w:p>
    <w:p w14:paraId="3E1A1A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cs="仿宋_GB2312"/>
          <w:lang w:val="en-US" w:eastAsia="zh-CN"/>
        </w:rPr>
      </w:pPr>
      <w:bookmarkStart w:id="46" w:name="_Toc940398227"/>
      <w:bookmarkStart w:id="47" w:name="_Toc1328311598"/>
      <w:r>
        <w:rPr>
          <w:rStyle w:val="9"/>
          <w:rFonts w:hint="eastAsia"/>
          <w:lang w:val="en-US" w:eastAsia="zh-CN"/>
        </w:rPr>
        <w:t>第十六条</w:t>
      </w:r>
      <w:bookmarkEnd w:id="46"/>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市政公用设施固定资产产权需要移交的，由移交单位和养护管理单位按照国家、省和本市相关规定办理。</w:t>
      </w:r>
      <w:bookmarkEnd w:id="47"/>
    </w:p>
    <w:p w14:paraId="568D268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cs="仿宋_GB2312"/>
          <w:lang w:val="en-US" w:eastAsia="zh-CN"/>
        </w:rPr>
      </w:pPr>
      <w:bookmarkStart w:id="48" w:name="_Toc423349913"/>
      <w:bookmarkStart w:id="49" w:name="_Toc1194885665"/>
      <w:r>
        <w:rPr>
          <w:rStyle w:val="9"/>
          <w:rFonts w:hint="eastAsia"/>
          <w:lang w:val="en-US" w:eastAsia="zh-CN"/>
        </w:rPr>
        <w:t>第十七条</w:t>
      </w:r>
      <w:bookmarkEnd w:id="48"/>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市政公用设施质保期满后，工程质量保证金须经过养护管理单位书面同意后，方可办理质保金支付手续。</w:t>
      </w:r>
      <w:bookmarkEnd w:id="49"/>
    </w:p>
    <w:p w14:paraId="5BF1C28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50" w:name="_Toc860841545"/>
      <w:bookmarkStart w:id="51" w:name="_Toc1729896340"/>
      <w:r>
        <w:rPr>
          <w:rStyle w:val="9"/>
          <w:rFonts w:hint="eastAsia"/>
          <w:lang w:val="en-US" w:eastAsia="zh-CN"/>
        </w:rPr>
        <w:t>第十八条</w:t>
      </w:r>
      <w:bookmarkEnd w:id="50"/>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市政公用设施维护管理职责按阶段划分如下：</w:t>
      </w:r>
      <w:bookmarkEnd w:id="51"/>
    </w:p>
    <w:p w14:paraId="407743A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（一）在完工后至移交阶段，市政公用设施的养护管理由移交单位安排施工单位负责。</w:t>
      </w:r>
    </w:p>
    <w:p w14:paraId="0BA7C6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在移交后至质保期阶段，市政公用设施的养护管理和日常维修由接收单位安排养护管理单位负责。出现主体质量问题的由移交单位组织施工单位进行整改。如因工程质量缺陷直接影响公共安全和人身安全，需要立即抢修的，养护管理单位及时通知移交单位或施工单位限期抢修，如超期未抢修的，接收单位可先行组织抢修，24小时内书面告知移交单位，相关费用经移交单位确认后在施工单位中工程质保金抵扣，不足部分由施工单位另行支付补足。</w:t>
      </w:r>
    </w:p>
    <w:p w14:paraId="3EAF65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（三）质保期满后的养护管理和日常维修全部由养护管理部门负责。</w:t>
      </w:r>
    </w:p>
    <w:p w14:paraId="193A03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52" w:name="_Toc1232437675"/>
      <w:bookmarkStart w:id="53" w:name="_Toc1487827140"/>
      <w:r>
        <w:rPr>
          <w:rStyle w:val="9"/>
          <w:rFonts w:hint="eastAsia"/>
          <w:lang w:val="en-US" w:eastAsia="zh-CN"/>
        </w:rPr>
        <w:t>第十九条</w:t>
      </w:r>
      <w:bookmarkEnd w:id="52"/>
      <w:r>
        <w:rPr>
          <w:rFonts w:hint="eastAsia" w:ascii="黑体" w:hAnsi="黑体" w:eastAsia="黑体" w:cs="黑体"/>
          <w:lang w:val="en-US" w:eastAsia="zh-CN"/>
        </w:rPr>
        <w:t xml:space="preserve">  </w:t>
      </w:r>
      <w:r>
        <w:rPr>
          <w:rFonts w:hint="eastAsia" w:ascii="仿宋_GB2312" w:hAnsi="仿宋_GB2312" w:eastAsia="仿宋_GB2312" w:cs="仿宋_GB2312"/>
          <w:lang w:val="en-US" w:eastAsia="zh-CN"/>
        </w:rPr>
        <w:t>预计当年度能够竣工验收并移交的市政公用设施项目，移交单位应在当年的6月前或项目进度达到95%时，向接收单位提供项目预算审定资料以及设施种类、数量、规模等情况。由接收单位按定额标准计算维护经费，向财政部门申请纳入下一年度预算保障年度维护经费。</w:t>
      </w:r>
      <w:bookmarkEnd w:id="53"/>
    </w:p>
    <w:p w14:paraId="6170476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黑体" w:hAnsi="黑体" w:eastAsia="黑体" w:cs="黑体"/>
          <w:lang w:val="en-US" w:eastAsia="zh-CN"/>
        </w:rPr>
      </w:pPr>
      <w:bookmarkStart w:id="54" w:name="_Toc1546563086"/>
      <w:bookmarkStart w:id="55" w:name="_Toc743468445"/>
      <w:bookmarkStart w:id="56" w:name="_Toc570868492"/>
      <w:bookmarkStart w:id="57" w:name="_Toc2072202285"/>
      <w:bookmarkStart w:id="58" w:name="_Toc1334212424"/>
      <w:r>
        <w:rPr>
          <w:rFonts w:hint="eastAsia" w:ascii="黑体" w:hAnsi="黑体" w:eastAsia="黑体" w:cs="黑体"/>
          <w:lang w:val="en-US" w:eastAsia="zh-CN"/>
        </w:rPr>
        <w:t xml:space="preserve">第四章  </w:t>
      </w:r>
      <w:bookmarkEnd w:id="54"/>
      <w:r>
        <w:rPr>
          <w:rFonts w:hint="eastAsia" w:ascii="黑体" w:hAnsi="黑体" w:eastAsia="黑体" w:cs="黑体"/>
          <w:lang w:val="en-US" w:eastAsia="zh-CN"/>
        </w:rPr>
        <w:t>管理</w:t>
      </w:r>
      <w:bookmarkEnd w:id="55"/>
      <w:bookmarkEnd w:id="56"/>
      <w:r>
        <w:rPr>
          <w:rFonts w:hint="eastAsia" w:ascii="黑体" w:hAnsi="黑体" w:eastAsia="黑体" w:cs="黑体"/>
          <w:lang w:val="en-US" w:eastAsia="zh-CN"/>
        </w:rPr>
        <w:t>与责任</w:t>
      </w:r>
      <w:bookmarkEnd w:id="57"/>
      <w:bookmarkEnd w:id="58"/>
    </w:p>
    <w:p w14:paraId="6ADD055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cs="仿宋_GB2312"/>
          <w:lang w:val="en-US" w:eastAsia="zh-CN"/>
        </w:rPr>
      </w:pPr>
      <w:bookmarkStart w:id="59" w:name="_Toc639461030"/>
      <w:bookmarkStart w:id="60" w:name="_Toc1182887777"/>
      <w:r>
        <w:rPr>
          <w:rStyle w:val="9"/>
          <w:rFonts w:hint="eastAsia"/>
          <w:lang w:val="en-US" w:eastAsia="zh-CN"/>
        </w:rPr>
        <w:t>第二十条</w:t>
      </w:r>
      <w:bookmarkEnd w:id="59"/>
      <w:r>
        <w:rPr>
          <w:rFonts w:hint="eastAsia" w:ascii="黑体" w:hAnsi="黑体" w:eastAsia="黑体" w:cs="黑体"/>
          <w:lang w:val="en-US" w:eastAsia="zh-CN"/>
        </w:rPr>
        <w:t xml:space="preserve">  </w:t>
      </w:r>
      <w:r>
        <w:rPr>
          <w:rFonts w:hint="eastAsia" w:cs="仿宋_GB2312"/>
          <w:lang w:val="en-US" w:eastAsia="zh-CN"/>
        </w:rPr>
        <w:t>市政公用设施未经竣工验收或竣工验收不合格的，不得交付使用。</w:t>
      </w:r>
      <w:bookmarkEnd w:id="60"/>
    </w:p>
    <w:p w14:paraId="3093490C">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cs="仿宋_GB2312"/>
          <w:lang w:val="en-US" w:eastAsia="zh-CN"/>
        </w:rPr>
      </w:pPr>
      <w:bookmarkStart w:id="61" w:name="_Toc1680091007"/>
      <w:r>
        <w:rPr>
          <w:rFonts w:hint="eastAsia" w:cs="仿宋_GB2312"/>
          <w:lang w:val="en-US" w:eastAsia="zh-CN"/>
        </w:rPr>
        <w:t>市政公用设施竣工验收后需要整改的，其中单项工程在不影响养护和其他单项工作整改且验收合格的，可单独移交。</w:t>
      </w:r>
      <w:bookmarkEnd w:id="61"/>
    </w:p>
    <w:p w14:paraId="64FD25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cs="仿宋_GB2312"/>
          <w:lang w:val="en-US" w:eastAsia="zh-CN"/>
        </w:rPr>
      </w:pPr>
      <w:bookmarkStart w:id="62" w:name="_Toc1765823335"/>
      <w:r>
        <w:rPr>
          <w:rFonts w:hint="eastAsia" w:cs="仿宋_GB2312"/>
          <w:lang w:val="en-US" w:eastAsia="zh-CN"/>
        </w:rPr>
        <w:t>市政道路建成并竣工验收合格后，确需开放交通的应征得公安机关交通管理部门同意后方可投入使用。在投入使用至移交阶段，养护管理由移交单位安排施工单位负责。</w:t>
      </w:r>
      <w:bookmarkEnd w:id="62"/>
    </w:p>
    <w:p w14:paraId="6F76F4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cs="仿宋_GB2312"/>
          <w:lang w:val="en-US" w:eastAsia="zh-CN"/>
        </w:rPr>
      </w:pPr>
      <w:bookmarkStart w:id="63" w:name="_Toc1786330649"/>
      <w:r>
        <w:rPr>
          <w:rFonts w:hint="eastAsia" w:cs="仿宋_GB2312"/>
          <w:lang w:val="en-US" w:eastAsia="zh-CN"/>
        </w:rPr>
        <w:t>超过移交期限的，应当委托具有相应资质的检测鉴定机构对拟移交的市政公用设施作出质量鉴定，鉴定结果达到该工程原设计标准的，方可移交接管。</w:t>
      </w:r>
      <w:bookmarkEnd w:id="63"/>
    </w:p>
    <w:p w14:paraId="709C94D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64" w:name="_Toc1903721691"/>
      <w:bookmarkStart w:id="65" w:name="_Toc238680100"/>
      <w:r>
        <w:rPr>
          <w:rStyle w:val="9"/>
          <w:rFonts w:hint="eastAsia"/>
          <w:lang w:val="en-US" w:eastAsia="zh-CN"/>
        </w:rPr>
        <w:t>第二十一条</w:t>
      </w:r>
      <w:bookmarkEnd w:id="64"/>
      <w:r>
        <w:rPr>
          <w:rFonts w:hint="eastAsia" w:ascii="黑体" w:hAnsi="黑体" w:eastAsia="黑体" w:cs="黑体"/>
          <w:lang w:val="en-US" w:eastAsia="zh-CN"/>
        </w:rPr>
        <w:t xml:space="preserve">  </w:t>
      </w:r>
      <w:r>
        <w:rPr>
          <w:rFonts w:hint="eastAsia" w:cs="仿宋_GB2312"/>
          <w:lang w:val="en-US" w:eastAsia="zh-CN"/>
        </w:rPr>
        <w:t>市政公用设施没有按要求办理移交备案、移交申请等手续或尚不具备移交条件，接收、养护管理单位应当不予接收。</w:t>
      </w:r>
      <w:bookmarkEnd w:id="65"/>
    </w:p>
    <w:p w14:paraId="300511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cs="仿宋_GB2312"/>
          <w:lang w:val="en-US" w:eastAsia="zh-CN"/>
        </w:rPr>
      </w:pPr>
      <w:bookmarkStart w:id="66" w:name="_Toc679069585"/>
      <w:r>
        <w:rPr>
          <w:rFonts w:hint="eastAsia" w:ascii="仿宋_GB2312" w:hAnsi="仿宋_GB2312" w:eastAsia="仿宋_GB2312" w:cs="仿宋_GB2312"/>
          <w:lang w:val="en-US" w:eastAsia="zh-CN"/>
        </w:rPr>
        <w:t>接收</w:t>
      </w:r>
      <w:r>
        <w:rPr>
          <w:rFonts w:hint="eastAsia" w:cs="仿宋_GB2312"/>
          <w:lang w:val="en-US" w:eastAsia="zh-CN"/>
        </w:rPr>
        <w:t>、</w:t>
      </w:r>
      <w:r>
        <w:rPr>
          <w:rFonts w:hint="eastAsia" w:ascii="仿宋_GB2312" w:hAnsi="仿宋_GB2312" w:eastAsia="仿宋_GB2312" w:cs="仿宋_GB2312"/>
          <w:lang w:val="en-US" w:eastAsia="zh-CN"/>
        </w:rPr>
        <w:t>养护管理单位</w:t>
      </w:r>
      <w:r>
        <w:rPr>
          <w:rFonts w:hint="eastAsia" w:cs="仿宋_GB2312"/>
          <w:lang w:val="en-US" w:eastAsia="zh-CN"/>
        </w:rPr>
        <w:t>应严格按照审查通过的设计文件内容办理接收手续，不得提出超出设计文件及技术规范标准以外的接收条件，不得无故拖延或拒绝接收满足移交条件的市政公用设施。</w:t>
      </w:r>
      <w:bookmarkEnd w:id="66"/>
    </w:p>
    <w:p w14:paraId="42E787C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cs="仿宋_GB2312"/>
          <w:lang w:val="en-US" w:eastAsia="zh-CN"/>
        </w:rPr>
      </w:pPr>
      <w:bookmarkStart w:id="67" w:name="_Toc1205818246"/>
      <w:r>
        <w:rPr>
          <w:rFonts w:hint="eastAsia" w:ascii="仿宋_GB2312" w:hAnsi="仿宋_GB2312" w:eastAsia="仿宋_GB2312" w:cs="仿宋_GB2312"/>
          <w:lang w:val="en-US" w:eastAsia="zh-CN"/>
        </w:rPr>
        <w:t>接收单位核查后认为市政公用设施不具备移交条件的，应当与移交单位协商解决；协商解决不成的由移交单位报市政府决定。</w:t>
      </w:r>
      <w:bookmarkEnd w:id="67"/>
    </w:p>
    <w:p w14:paraId="10043985">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hint="eastAsia" w:ascii="黑体" w:hAnsi="黑体" w:eastAsia="黑体" w:cs="黑体"/>
          <w:lang w:val="en-US" w:eastAsia="zh-CN"/>
        </w:rPr>
      </w:pPr>
      <w:bookmarkStart w:id="68" w:name="_Toc1837328129"/>
      <w:bookmarkStart w:id="69" w:name="_Toc2133106570"/>
      <w:bookmarkStart w:id="70" w:name="_Toc362299866"/>
      <w:bookmarkStart w:id="71" w:name="_Toc636729709"/>
      <w:bookmarkStart w:id="72" w:name="_Toc1693392657"/>
      <w:r>
        <w:rPr>
          <w:rFonts w:hint="eastAsia" w:ascii="黑体" w:hAnsi="黑体" w:eastAsia="黑体" w:cs="黑体"/>
          <w:lang w:val="en-US" w:eastAsia="zh-CN"/>
        </w:rPr>
        <w:t>第五章  附则</w:t>
      </w:r>
      <w:bookmarkEnd w:id="68"/>
      <w:bookmarkEnd w:id="69"/>
      <w:bookmarkEnd w:id="70"/>
      <w:bookmarkEnd w:id="71"/>
      <w:bookmarkEnd w:id="72"/>
    </w:p>
    <w:p w14:paraId="562CD43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73" w:name="_Toc1158152771"/>
      <w:bookmarkStart w:id="74" w:name="_Toc1012858093"/>
      <w:r>
        <w:rPr>
          <w:rStyle w:val="9"/>
          <w:rFonts w:hint="eastAsia"/>
          <w:lang w:val="en-US" w:eastAsia="zh-CN"/>
        </w:rPr>
        <w:t>第二十二条</w:t>
      </w:r>
      <w:bookmarkEnd w:id="73"/>
      <w:r>
        <w:rPr>
          <w:rFonts w:hint="eastAsia" w:cs="仿宋_GB2312"/>
          <w:lang w:val="en-US" w:eastAsia="zh-CN"/>
        </w:rPr>
        <w:t xml:space="preserve">  </w:t>
      </w:r>
      <w:r>
        <w:rPr>
          <w:rFonts w:hint="eastAsia" w:ascii="仿宋_GB2312" w:hAnsi="仿宋_GB2312" w:eastAsia="仿宋_GB2312" w:cs="仿宋_GB2312"/>
          <w:lang w:val="en-US" w:eastAsia="zh-CN"/>
        </w:rPr>
        <w:t>本办法施行前已开工建设但未竣工验收的市政公用设施项目应按照本办法规定完善移交前相关手续。</w:t>
      </w:r>
      <w:bookmarkEnd w:id="74"/>
    </w:p>
    <w:p w14:paraId="54A5EEC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75" w:name="_Toc1154080783"/>
      <w:r>
        <w:rPr>
          <w:rFonts w:hint="eastAsia" w:ascii="仿宋_GB2312" w:hAnsi="仿宋_GB2312" w:eastAsia="仿宋_GB2312" w:cs="仿宋_GB2312"/>
          <w:lang w:val="en-US" w:eastAsia="zh-CN"/>
        </w:rPr>
        <w:t>本办法施行前已竣工验收合格但未完成移交手续的市政公用设施项目按原移交手续执行，或参照本办法完善相关手续执行。</w:t>
      </w:r>
      <w:bookmarkEnd w:id="75"/>
    </w:p>
    <w:p w14:paraId="07D14B3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76" w:name="_Toc1866923058"/>
      <w:r>
        <w:rPr>
          <w:rFonts w:hint="eastAsia" w:ascii="仿宋_GB2312" w:hAnsi="仿宋_GB2312" w:eastAsia="仿宋_GB2312" w:cs="仿宋_GB2312"/>
          <w:lang w:val="en-US" w:eastAsia="zh-CN"/>
        </w:rPr>
        <w:t>接收部门可结合移交工作具体要求，依据本办法制定实施细则。</w:t>
      </w:r>
      <w:bookmarkEnd w:id="76"/>
    </w:p>
    <w:p w14:paraId="119DE1C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lang w:val="en-US" w:eastAsia="zh-CN"/>
        </w:rPr>
      </w:pPr>
      <w:bookmarkStart w:id="77" w:name="_Toc380350856"/>
      <w:bookmarkStart w:id="78" w:name="_Toc1422219850"/>
      <w:r>
        <w:rPr>
          <w:rStyle w:val="9"/>
          <w:rFonts w:hint="eastAsia"/>
          <w:lang w:val="en-US" w:eastAsia="zh-CN"/>
        </w:rPr>
        <w:t>第二十三条</w:t>
      </w:r>
      <w:bookmarkEnd w:id="77"/>
      <w:r>
        <w:rPr>
          <w:rFonts w:hint="eastAsia" w:cs="仿宋_GB2312"/>
          <w:lang w:val="en-US" w:eastAsia="zh-CN"/>
        </w:rPr>
        <w:t xml:space="preserve">  </w:t>
      </w:r>
      <w:r>
        <w:rPr>
          <w:rFonts w:hint="eastAsia" w:ascii="仿宋_GB2312" w:hAnsi="仿宋_GB2312" w:eastAsia="仿宋_GB2312" w:cs="仿宋_GB2312"/>
          <w:lang w:val="en-US" w:eastAsia="zh-CN"/>
        </w:rPr>
        <w:t>本办法所称中心城区范围，是指《湛江市国土空间总体规划（2021-2035年）》划定为中心城区775.97平方公里的区域。</w:t>
      </w:r>
      <w:bookmarkEnd w:id="78"/>
    </w:p>
    <w:p w14:paraId="5CB92D0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lang w:val="en-US" w:eastAsia="zh-CN"/>
        </w:rPr>
      </w:pPr>
      <w:bookmarkStart w:id="79" w:name="_Toc1571709667"/>
      <w:bookmarkStart w:id="80" w:name="_Toc1966140080"/>
      <w:r>
        <w:rPr>
          <w:rStyle w:val="9"/>
          <w:rFonts w:hint="eastAsia"/>
          <w:lang w:val="en-US" w:eastAsia="zh-CN"/>
        </w:rPr>
        <w:t>第二十四条</w:t>
      </w:r>
      <w:bookmarkEnd w:id="79"/>
      <w:r>
        <w:rPr>
          <w:rFonts w:hint="eastAsia" w:cs="仿宋_GB2312"/>
          <w:lang w:val="en-US" w:eastAsia="zh-CN"/>
        </w:rPr>
        <w:t xml:space="preserve">  </w:t>
      </w:r>
      <w:r>
        <w:rPr>
          <w:rFonts w:hint="eastAsia" w:ascii="仿宋_GB2312" w:hAnsi="仿宋_GB2312" w:eastAsia="仿宋_GB2312" w:cs="仿宋_GB2312"/>
          <w:lang w:val="en-US" w:eastAsia="zh-CN"/>
        </w:rPr>
        <w:t>本市中心城区范围以外区域实行市政公用设施移交的。可参照本办法执行。</w:t>
      </w:r>
      <w:bookmarkEnd w:id="80"/>
    </w:p>
    <w:p w14:paraId="490F2A5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pPr>
      <w:bookmarkStart w:id="81" w:name="_Toc610509266"/>
      <w:bookmarkStart w:id="82" w:name="_Toc1663460463"/>
      <w:r>
        <w:rPr>
          <w:rStyle w:val="9"/>
          <w:rFonts w:hint="eastAsia"/>
          <w:lang w:val="en-US" w:eastAsia="zh-CN"/>
        </w:rPr>
        <w:t>第二十五条</w:t>
      </w:r>
      <w:bookmarkEnd w:id="81"/>
      <w:r>
        <w:rPr>
          <w:rFonts w:hint="eastAsia" w:cs="仿宋_GB2312"/>
          <w:lang w:val="en-US" w:eastAsia="zh-CN"/>
        </w:rPr>
        <w:t xml:space="preserve">  </w:t>
      </w:r>
      <w:r>
        <w:rPr>
          <w:rFonts w:hint="eastAsia" w:ascii="仿宋_GB2312" w:hAnsi="仿宋_GB2312" w:eastAsia="仿宋_GB2312" w:cs="仿宋_GB2312"/>
          <w:lang w:val="en-US" w:eastAsia="zh-CN"/>
        </w:rPr>
        <w:t>本办法自......年......月......日起施行，有效期5年。</w:t>
      </w:r>
      <w:bookmarkEnd w:id="82"/>
      <w:bookmarkStart w:id="83" w:name="_GoBack"/>
      <w:bookmarkEnd w:id="8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29B5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75E82A">
                          <w:pPr>
                            <w:pStyle w:val="5"/>
                          </w:pPr>
                          <w:r>
                            <w:fldChar w:fldCharType="begin"/>
                          </w:r>
                          <w:r>
                            <w:instrText xml:space="preserve"> PAGE  \* MERGEFORMAT </w:instrText>
                          </w:r>
                          <w:r>
                            <w:fldChar w:fldCharType="separate"/>
                          </w:r>
                          <w:r>
                            <w:t>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2575E82A">
                    <w:pPr>
                      <w:pStyle w:val="5"/>
                    </w:pPr>
                    <w:r>
                      <w:fldChar w:fldCharType="begin"/>
                    </w:r>
                    <w:r>
                      <w:instrText xml:space="preserve"> PAGE  \* MERGEFORMAT </w:instrText>
                    </w:r>
                    <w:r>
                      <w:fldChar w:fldCharType="separate"/>
                    </w:r>
                    <w:r>
                      <w:t>I</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07B0A8"/>
    <w:multiLevelType w:val="singleLevel"/>
    <w:tmpl w:val="C307B0A8"/>
    <w:lvl w:ilvl="0" w:tentative="0">
      <w:start w:val="1"/>
      <w:numFmt w:val="chineseCounting"/>
      <w:pStyle w:val="4"/>
      <w:suff w:val="nothing"/>
      <w:lvlText w:val="%1、"/>
      <w:lvlJc w:val="left"/>
      <w:pPr>
        <w:tabs>
          <w:tab w:val="left" w:pos="0"/>
        </w:tabs>
        <w:ind w:left="0" w:firstLine="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MjA1Nzk3NWNkMTJiNjI1M2ViYWRkMTg4Mjg4OTcifQ=="/>
  </w:docVars>
  <w:rsids>
    <w:rsidRoot w:val="00000000"/>
    <w:rsid w:val="035634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2"/>
    <w:basedOn w:val="1"/>
    <w:next w:val="1"/>
    <w:link w:val="9"/>
    <w:unhideWhenUsed/>
    <w:qFormat/>
    <w:uiPriority w:val="0"/>
    <w:pPr>
      <w:keepNext/>
      <w:keepLines/>
      <w:numPr>
        <w:ilvl w:val="0"/>
        <w:numId w:val="1"/>
      </w:numPr>
      <w:spacing w:beforeLines="0" w:beforeAutospacing="0" w:afterLines="0" w:afterAutospacing="0" w:line="600" w:lineRule="exact"/>
      <w:ind w:firstLine="40" w:firstLineChars="0"/>
      <w:outlineLvl w:val="1"/>
    </w:pPr>
    <w:rPr>
      <w:rFonts w:ascii="黑体" w:hAnsi="黑体"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文本首行缩进 2"/>
    <w:basedOn w:val="3"/>
    <w:qFormat/>
    <w:uiPriority w:val="0"/>
    <w:pPr>
      <w:ind w:firstLine="420" w:firstLineChars="200"/>
    </w:pPr>
  </w:style>
  <w:style w:type="paragraph" w:styleId="3">
    <w:name w:val="Body Text Indent"/>
    <w:basedOn w:val="1"/>
    <w:qFormat/>
    <w:uiPriority w:val="0"/>
    <w:pPr>
      <w:spacing w:after="120"/>
      <w:ind w:left="420" w:leftChars="2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toc 1"/>
    <w:basedOn w:val="1"/>
    <w:next w:val="1"/>
    <w:qFormat/>
    <w:uiPriority w:val="0"/>
  </w:style>
  <w:style w:type="character" w:customStyle="1" w:styleId="9">
    <w:name w:val="标题 2 Char"/>
    <w:link w:val="4"/>
    <w:qFormat/>
    <w:uiPriority w:val="0"/>
    <w:rPr>
      <w:rFonts w:ascii="黑体" w:hAnsi="黑体" w:eastAsia="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神经蛙</cp:lastModifiedBy>
  <dcterms:modified xsi:type="dcterms:W3CDTF">2024-07-17T09:09:30Z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05D973DE72F546D493C159CF0C39ADF6_12</vt:lpwstr>
  </property>
</Properties>
</file>