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cs="黑体"/>
          <w:b/>
          <w:color w:val="000000"/>
          <w:spacing w:val="5"/>
          <w:kern w:val="0"/>
          <w:sz w:val="30"/>
          <w:szCs w:val="30"/>
        </w:rPr>
      </w:pPr>
    </w:p>
    <w:p>
      <w:pPr>
        <w:spacing w:line="500" w:lineRule="exact"/>
        <w:ind w:firstLine="880" w:firstLineChars="200"/>
        <w:rPr>
          <w:rFonts w:hint="eastAsia" w:ascii="仿宋_GB2312" w:hAnsi="仿宋_GB2312" w:eastAsia="仿宋_GB2312" w:cs="仿宋_GB2312"/>
          <w:sz w:val="44"/>
          <w:szCs w:val="44"/>
          <w:lang w:eastAsia="zh-CN"/>
        </w:rPr>
      </w:pPr>
      <w:r>
        <w:rPr>
          <w:rFonts w:hint="eastAsia" w:hAnsi="仿宋" w:cs="Times New Roman"/>
          <w:sz w:val="44"/>
          <w:szCs w:val="44"/>
          <w:lang w:eastAsia="zh-CN"/>
        </w:rPr>
        <w:t>湛江市市容和环卫管理条例（</w:t>
      </w:r>
      <w:r>
        <w:rPr>
          <w:rFonts w:hint="eastAsia" w:hAnsi="仿宋" w:cs="Times New Roman"/>
          <w:sz w:val="44"/>
          <w:szCs w:val="44"/>
          <w:lang w:val="en-US" w:eastAsia="zh-CN"/>
        </w:rPr>
        <w:t>征求意见稿</w:t>
      </w:r>
      <w:r>
        <w:rPr>
          <w:rFonts w:hint="eastAsia" w:hAnsi="仿宋" w:cs="Times New Roman"/>
          <w:sz w:val="44"/>
          <w:szCs w:val="44"/>
          <w:lang w:eastAsia="zh-CN"/>
        </w:rPr>
        <w:t>）</w:t>
      </w:r>
    </w:p>
    <w:p>
      <w:pPr>
        <w:widowControl/>
        <w:adjustRightInd w:val="0"/>
        <w:snapToGrid w:val="0"/>
        <w:spacing w:line="360" w:lineRule="auto"/>
        <w:jc w:val="both"/>
        <w:rPr>
          <w:rFonts w:ascii="宋体" w:hAnsi="宋体" w:eastAsia="宋体" w:cs="宋体"/>
          <w:b/>
          <w:color w:val="000000"/>
          <w:spacing w:val="5"/>
          <w:kern w:val="0"/>
          <w:sz w:val="24"/>
          <w:szCs w:val="24"/>
        </w:rPr>
      </w:pPr>
    </w:p>
    <w:sdt>
      <w:sdtPr>
        <w:rPr>
          <w:rFonts w:ascii="宋体" w:hAnsi="宋体" w:eastAsia="宋体" w:cstheme="minorBidi"/>
          <w:kern w:val="2"/>
          <w:sz w:val="21"/>
          <w:szCs w:val="21"/>
          <w:lang w:val="en-US" w:eastAsia="zh-CN" w:bidi="ar-SA"/>
        </w:rPr>
        <w:id w:val="147483083"/>
        <w15:color w:val="DBDBDB"/>
        <w:docPartObj>
          <w:docPartGallery w:val="Table of Contents"/>
          <w:docPartUnique/>
        </w:docPartObj>
      </w:sdtPr>
      <w:sdtEndPr>
        <w:rPr>
          <w:rFonts w:ascii="宋体" w:hAnsi="宋体" w:eastAsia="宋体" w:cs="宋体"/>
          <w:b/>
          <w:color w:val="000000"/>
          <w:spacing w:val="5"/>
          <w:kern w:val="0"/>
          <w:sz w:val="21"/>
          <w:szCs w:val="24"/>
          <w:lang w:val="en-US" w:eastAsia="zh-CN" w:bidi="ar-SA"/>
        </w:rPr>
      </w:sdtEndPr>
      <w:sdtContent>
        <w:p>
          <w:pPr>
            <w:spacing w:before="0" w:beforeLines="0" w:after="0" w:afterLines="0" w:line="240" w:lineRule="auto"/>
            <w:ind w:left="0" w:leftChars="0" w:right="0" w:rightChars="0" w:firstLine="0" w:firstLineChars="0"/>
            <w:jc w:val="center"/>
            <w:rPr>
              <w:b/>
            </w:rPr>
          </w:pPr>
          <w:r>
            <w:rPr>
              <w:rFonts w:ascii="宋体" w:hAnsi="宋体" w:eastAsia="宋体"/>
              <w:sz w:val="21"/>
            </w:rPr>
            <w:t>目录</w:t>
          </w:r>
          <w:r>
            <w:rPr>
              <w:rFonts w:ascii="宋体" w:hAnsi="宋体" w:eastAsia="宋体" w:cs="宋体"/>
              <w:b/>
              <w:color w:val="000000"/>
              <w:spacing w:val="5"/>
              <w:kern w:val="0"/>
              <w:sz w:val="24"/>
              <w:szCs w:val="24"/>
            </w:rPr>
            <w:fldChar w:fldCharType="begin"/>
          </w:r>
          <w:r>
            <w:rPr>
              <w:rFonts w:ascii="宋体" w:hAnsi="宋体" w:eastAsia="宋体" w:cs="宋体"/>
              <w:b/>
              <w:color w:val="000000"/>
              <w:spacing w:val="5"/>
              <w:kern w:val="0"/>
              <w:sz w:val="24"/>
              <w:szCs w:val="24"/>
            </w:rPr>
            <w:instrText xml:space="preserve">TOC \o "1-2" \h \u </w:instrText>
          </w:r>
          <w:r>
            <w:rPr>
              <w:rFonts w:ascii="宋体" w:hAnsi="宋体" w:eastAsia="宋体" w:cs="宋体"/>
              <w:b/>
              <w:color w:val="000000"/>
              <w:spacing w:val="5"/>
              <w:kern w:val="0"/>
              <w:sz w:val="24"/>
              <w:szCs w:val="24"/>
            </w:rPr>
            <w:fldChar w:fldCharType="separate"/>
          </w:r>
        </w:p>
        <w:p>
          <w:pPr>
            <w:pStyle w:val="48"/>
            <w:tabs>
              <w:tab w:val="right" w:leader="dot" w:pos="9070"/>
            </w:tabs>
            <w:rPr>
              <w:b/>
            </w:rPr>
          </w:pPr>
          <w:r>
            <w:rPr>
              <w:rFonts w:ascii="宋体" w:hAnsi="宋体" w:eastAsia="宋体" w:cs="宋体"/>
              <w:b/>
              <w:color w:val="000000"/>
              <w:spacing w:val="5"/>
              <w:kern w:val="0"/>
              <w:szCs w:val="24"/>
            </w:rPr>
            <w:fldChar w:fldCharType="begin"/>
          </w:r>
          <w:r>
            <w:rPr>
              <w:rFonts w:ascii="宋体" w:hAnsi="宋体" w:eastAsia="宋体" w:cs="宋体"/>
              <w:b/>
              <w:spacing w:val="5"/>
              <w:kern w:val="0"/>
              <w:szCs w:val="24"/>
            </w:rPr>
            <w:instrText xml:space="preserve"> HYPERLINK \l _Toc8403 </w:instrText>
          </w:r>
          <w:r>
            <w:rPr>
              <w:rFonts w:ascii="宋体" w:hAnsi="宋体" w:eastAsia="宋体" w:cs="宋体"/>
              <w:b/>
              <w:spacing w:val="5"/>
              <w:kern w:val="0"/>
              <w:szCs w:val="24"/>
            </w:rPr>
            <w:fldChar w:fldCharType="separate"/>
          </w:r>
          <w:r>
            <w:rPr>
              <w:rFonts w:hint="eastAsia"/>
              <w:b/>
            </w:rPr>
            <w:t>第一章 总 则</w:t>
          </w:r>
          <w:r>
            <w:rPr>
              <w:b/>
            </w:rPr>
            <w:tab/>
          </w:r>
          <w:r>
            <w:rPr>
              <w:b/>
            </w:rPr>
            <w:fldChar w:fldCharType="begin"/>
          </w:r>
          <w:r>
            <w:rPr>
              <w:b/>
            </w:rPr>
            <w:instrText xml:space="preserve"> PAGEREF _Toc8403 \h </w:instrText>
          </w:r>
          <w:r>
            <w:rPr>
              <w:b/>
            </w:rPr>
            <w:fldChar w:fldCharType="separate"/>
          </w:r>
          <w:r>
            <w:rPr>
              <w:b/>
            </w:rPr>
            <w:t>3</w:t>
          </w:r>
          <w:r>
            <w:rPr>
              <w:b/>
            </w:rPr>
            <w:fldChar w:fldCharType="end"/>
          </w:r>
          <w:r>
            <w:rPr>
              <w:rFonts w:ascii="宋体" w:hAnsi="宋体" w:eastAsia="宋体" w:cs="宋体"/>
              <w:b/>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_Toc29461 </w:instrText>
          </w:r>
          <w:r>
            <w:rPr>
              <w:rFonts w:ascii="宋体" w:hAnsi="宋体" w:eastAsia="宋体" w:cs="宋体"/>
              <w:spacing w:val="5"/>
              <w:kern w:val="0"/>
              <w:szCs w:val="24"/>
            </w:rPr>
            <w:fldChar w:fldCharType="separate"/>
          </w:r>
          <w:r>
            <w:rPr>
              <w:rFonts w:hint="eastAsia"/>
            </w:rPr>
            <w:t>第一条【立法目的与依据】</w:t>
          </w:r>
          <w:r>
            <w:tab/>
          </w:r>
          <w:r>
            <w:fldChar w:fldCharType="begin"/>
          </w:r>
          <w:r>
            <w:instrText xml:space="preserve"> PAGEREF _Toc29461 \h </w:instrText>
          </w:r>
          <w:r>
            <w:fldChar w:fldCharType="separate"/>
          </w:r>
          <w:r>
            <w:t>3</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_Toc495 </w:instrText>
          </w:r>
          <w:r>
            <w:rPr>
              <w:rFonts w:ascii="宋体" w:hAnsi="宋体" w:eastAsia="宋体" w:cs="宋体"/>
              <w:spacing w:val="5"/>
              <w:kern w:val="0"/>
              <w:szCs w:val="24"/>
            </w:rPr>
            <w:fldChar w:fldCharType="separate"/>
          </w:r>
          <w:r>
            <w:rPr>
              <w:rFonts w:hint="eastAsia"/>
            </w:rPr>
            <w:t>第二条【适用范围】</w:t>
          </w:r>
          <w:r>
            <w:tab/>
          </w:r>
          <w:r>
            <w:fldChar w:fldCharType="begin"/>
          </w:r>
          <w:r>
            <w:instrText xml:space="preserve"> PAGEREF _Toc495 \h </w:instrText>
          </w:r>
          <w:r>
            <w:fldChar w:fldCharType="separate"/>
          </w:r>
          <w:r>
            <w:t>3</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_Toc31600 </w:instrText>
          </w:r>
          <w:r>
            <w:rPr>
              <w:rFonts w:ascii="宋体" w:hAnsi="宋体" w:eastAsia="宋体" w:cs="宋体"/>
              <w:spacing w:val="5"/>
              <w:kern w:val="0"/>
              <w:szCs w:val="24"/>
            </w:rPr>
            <w:fldChar w:fldCharType="separate"/>
          </w:r>
          <w:r>
            <w:rPr>
              <w:rFonts w:hint="eastAsia"/>
            </w:rPr>
            <w:t>第三条【基本原则】</w:t>
          </w:r>
          <w:r>
            <w:tab/>
          </w:r>
          <w:r>
            <w:fldChar w:fldCharType="begin"/>
          </w:r>
          <w:r>
            <w:instrText xml:space="preserve"> PAGEREF _Toc31600 \h </w:instrText>
          </w:r>
          <w:r>
            <w:fldChar w:fldCharType="separate"/>
          </w:r>
          <w:r>
            <w:t>3</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_Toc14324 </w:instrText>
          </w:r>
          <w:r>
            <w:rPr>
              <w:rFonts w:ascii="宋体" w:hAnsi="宋体" w:eastAsia="宋体" w:cs="宋体"/>
              <w:spacing w:val="5"/>
              <w:kern w:val="0"/>
              <w:szCs w:val="24"/>
            </w:rPr>
            <w:fldChar w:fldCharType="separate"/>
          </w:r>
          <w:r>
            <w:rPr>
              <w:rFonts w:hint="eastAsia"/>
            </w:rPr>
            <w:t>第四条【工作保障】</w:t>
          </w:r>
          <w:r>
            <w:tab/>
          </w:r>
          <w:r>
            <w:fldChar w:fldCharType="begin"/>
          </w:r>
          <w:r>
            <w:instrText xml:space="preserve"> PAGEREF _Toc14324 \h </w:instrText>
          </w:r>
          <w:r>
            <w:fldChar w:fldCharType="separate"/>
          </w:r>
          <w:r>
            <w:t>3</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_Toc30141 </w:instrText>
          </w:r>
          <w:r>
            <w:rPr>
              <w:rFonts w:ascii="宋体" w:hAnsi="宋体" w:eastAsia="宋体" w:cs="宋体"/>
              <w:spacing w:val="5"/>
              <w:kern w:val="0"/>
              <w:szCs w:val="24"/>
            </w:rPr>
            <w:fldChar w:fldCharType="separate"/>
          </w:r>
          <w:r>
            <w:rPr>
              <w:rFonts w:hint="eastAsia"/>
            </w:rPr>
            <w:t>第五条【工作协调机制】</w:t>
          </w:r>
          <w:r>
            <w:tab/>
          </w:r>
          <w:r>
            <w:fldChar w:fldCharType="begin"/>
          </w:r>
          <w:r>
            <w:instrText xml:space="preserve"> PAGEREF _Toc30141 \h </w:instrText>
          </w:r>
          <w:r>
            <w:fldChar w:fldCharType="separate"/>
          </w:r>
          <w:r>
            <w:t>3</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_Toc22290 </w:instrText>
          </w:r>
          <w:r>
            <w:rPr>
              <w:rFonts w:ascii="宋体" w:hAnsi="宋体" w:eastAsia="宋体" w:cs="宋体"/>
              <w:spacing w:val="5"/>
              <w:kern w:val="0"/>
              <w:szCs w:val="24"/>
            </w:rPr>
            <w:fldChar w:fldCharType="separate"/>
          </w:r>
          <w:r>
            <w:rPr>
              <w:rFonts w:hint="eastAsia"/>
            </w:rPr>
            <w:t>第六条【管理职责】</w:t>
          </w:r>
          <w:r>
            <w:tab/>
          </w:r>
          <w:r>
            <w:fldChar w:fldCharType="begin"/>
          </w:r>
          <w:r>
            <w:instrText xml:space="preserve"> PAGEREF _Toc22290 \h </w:instrText>
          </w:r>
          <w:r>
            <w:fldChar w:fldCharType="separate"/>
          </w:r>
          <w:r>
            <w:t>4</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_Toc17653 </w:instrText>
          </w:r>
          <w:r>
            <w:rPr>
              <w:rFonts w:ascii="宋体" w:hAnsi="宋体" w:eastAsia="宋体" w:cs="宋体"/>
              <w:spacing w:val="5"/>
              <w:kern w:val="0"/>
              <w:szCs w:val="24"/>
            </w:rPr>
            <w:fldChar w:fldCharType="separate"/>
          </w:r>
          <w:r>
            <w:rPr>
              <w:rFonts w:hint="eastAsia"/>
            </w:rPr>
            <w:t>第七条【执法责任制】</w:t>
          </w:r>
          <w:r>
            <w:tab/>
          </w:r>
          <w:r>
            <w:fldChar w:fldCharType="begin"/>
          </w:r>
          <w:r>
            <w:instrText xml:space="preserve"> PAGEREF _Toc17653 \h </w:instrText>
          </w:r>
          <w:r>
            <w:fldChar w:fldCharType="separate"/>
          </w:r>
          <w:r>
            <w:t>4</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_Toc24537 </w:instrText>
          </w:r>
          <w:r>
            <w:rPr>
              <w:rFonts w:ascii="宋体" w:hAnsi="宋体" w:eastAsia="宋体" w:cs="宋体"/>
              <w:spacing w:val="5"/>
              <w:kern w:val="0"/>
              <w:szCs w:val="24"/>
            </w:rPr>
            <w:fldChar w:fldCharType="separate"/>
          </w:r>
          <w:r>
            <w:rPr>
              <w:rFonts w:hint="eastAsia"/>
            </w:rPr>
            <w:t>第八条【宣传教育】</w:t>
          </w:r>
          <w:r>
            <w:tab/>
          </w:r>
          <w:r>
            <w:fldChar w:fldCharType="begin"/>
          </w:r>
          <w:r>
            <w:instrText xml:space="preserve"> PAGEREF _Toc24537 \h </w:instrText>
          </w:r>
          <w:r>
            <w:fldChar w:fldCharType="separate"/>
          </w:r>
          <w:r>
            <w:t>4</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_Toc21236 </w:instrText>
          </w:r>
          <w:r>
            <w:rPr>
              <w:rFonts w:ascii="宋体" w:hAnsi="宋体" w:eastAsia="宋体" w:cs="宋体"/>
              <w:spacing w:val="5"/>
              <w:kern w:val="0"/>
              <w:szCs w:val="24"/>
            </w:rPr>
            <w:fldChar w:fldCharType="separate"/>
          </w:r>
          <w:r>
            <w:rPr>
              <w:rFonts w:hint="eastAsia"/>
            </w:rPr>
            <w:t>第九条【倡导鼓励】</w:t>
          </w:r>
          <w:r>
            <w:tab/>
          </w:r>
          <w:r>
            <w:fldChar w:fldCharType="begin"/>
          </w:r>
          <w:r>
            <w:instrText xml:space="preserve"> PAGEREF _Toc21236 \h </w:instrText>
          </w:r>
          <w:r>
            <w:fldChar w:fldCharType="separate"/>
          </w:r>
          <w:r>
            <w:t>4</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_Toc6654 </w:instrText>
          </w:r>
          <w:r>
            <w:rPr>
              <w:rFonts w:ascii="宋体" w:hAnsi="宋体" w:eastAsia="宋体" w:cs="宋体"/>
              <w:spacing w:val="5"/>
              <w:kern w:val="0"/>
              <w:szCs w:val="24"/>
            </w:rPr>
            <w:fldChar w:fldCharType="separate"/>
          </w:r>
          <w:r>
            <w:rPr>
              <w:rFonts w:hint="eastAsia"/>
            </w:rPr>
            <w:t>第十条【行业协会】</w:t>
          </w:r>
          <w:r>
            <w:tab/>
          </w:r>
          <w:r>
            <w:fldChar w:fldCharType="begin"/>
          </w:r>
          <w:r>
            <w:instrText xml:space="preserve"> PAGEREF _Toc6654 \h </w:instrText>
          </w:r>
          <w:r>
            <w:fldChar w:fldCharType="separate"/>
          </w:r>
          <w:r>
            <w:t>4</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_Toc24770 </w:instrText>
          </w:r>
          <w:r>
            <w:rPr>
              <w:rFonts w:ascii="宋体" w:hAnsi="宋体" w:eastAsia="宋体" w:cs="宋体"/>
              <w:spacing w:val="5"/>
              <w:kern w:val="0"/>
              <w:szCs w:val="24"/>
            </w:rPr>
            <w:fldChar w:fldCharType="separate"/>
          </w:r>
          <w:r>
            <w:rPr>
              <w:rFonts w:hint="eastAsia"/>
            </w:rPr>
            <w:t>第十一条【权利义务】</w:t>
          </w:r>
          <w:r>
            <w:tab/>
          </w:r>
          <w:r>
            <w:fldChar w:fldCharType="begin"/>
          </w:r>
          <w:r>
            <w:instrText xml:space="preserve"> PAGEREF _Toc24770 \h </w:instrText>
          </w:r>
          <w:r>
            <w:fldChar w:fldCharType="separate"/>
          </w:r>
          <w:r>
            <w:t>5</w:t>
          </w:r>
          <w:r>
            <w:fldChar w:fldCharType="end"/>
          </w:r>
          <w:r>
            <w:rPr>
              <w:rFonts w:ascii="宋体" w:hAnsi="宋体" w:eastAsia="宋体" w:cs="宋体"/>
              <w:color w:val="000000"/>
              <w:spacing w:val="5"/>
              <w:kern w:val="0"/>
              <w:szCs w:val="24"/>
            </w:rPr>
            <w:fldChar w:fldCharType="end"/>
          </w:r>
        </w:p>
        <w:p>
          <w:pPr>
            <w:pStyle w:val="48"/>
            <w:tabs>
              <w:tab w:val="right" w:leader="dot" w:pos="9070"/>
            </w:tabs>
            <w:rPr>
              <w:b/>
            </w:rPr>
          </w:pPr>
          <w:r>
            <w:rPr>
              <w:rFonts w:ascii="宋体" w:hAnsi="宋体" w:eastAsia="宋体" w:cs="宋体"/>
              <w:b/>
              <w:color w:val="000000"/>
              <w:spacing w:val="5"/>
              <w:kern w:val="0"/>
              <w:szCs w:val="24"/>
            </w:rPr>
            <w:fldChar w:fldCharType="begin"/>
          </w:r>
          <w:r>
            <w:rPr>
              <w:rFonts w:ascii="宋体" w:hAnsi="宋体" w:eastAsia="宋体" w:cs="宋体"/>
              <w:b/>
              <w:spacing w:val="5"/>
              <w:kern w:val="0"/>
              <w:szCs w:val="24"/>
            </w:rPr>
            <w:instrText xml:space="preserve"> HYPERLINK \l _Toc516 </w:instrText>
          </w:r>
          <w:r>
            <w:rPr>
              <w:rFonts w:ascii="宋体" w:hAnsi="宋体" w:eastAsia="宋体" w:cs="宋体"/>
              <w:b/>
              <w:spacing w:val="5"/>
              <w:kern w:val="0"/>
              <w:szCs w:val="24"/>
            </w:rPr>
            <w:fldChar w:fldCharType="separate"/>
          </w:r>
          <w:r>
            <w:rPr>
              <w:rFonts w:hint="eastAsia"/>
              <w:b/>
            </w:rPr>
            <w:t>第二章 主体责任</w:t>
          </w:r>
          <w:r>
            <w:rPr>
              <w:b/>
            </w:rPr>
            <w:tab/>
          </w:r>
          <w:r>
            <w:rPr>
              <w:b/>
            </w:rPr>
            <w:fldChar w:fldCharType="begin"/>
          </w:r>
          <w:r>
            <w:rPr>
              <w:b/>
            </w:rPr>
            <w:instrText xml:space="preserve"> PAGEREF _Toc516 \h </w:instrText>
          </w:r>
          <w:r>
            <w:rPr>
              <w:b/>
            </w:rPr>
            <w:fldChar w:fldCharType="separate"/>
          </w:r>
          <w:r>
            <w:rPr>
              <w:b/>
            </w:rPr>
            <w:t>5</w:t>
          </w:r>
          <w:r>
            <w:rPr>
              <w:b/>
            </w:rPr>
            <w:fldChar w:fldCharType="end"/>
          </w:r>
          <w:r>
            <w:rPr>
              <w:rFonts w:ascii="宋体" w:hAnsi="宋体" w:eastAsia="宋体" w:cs="宋体"/>
              <w:b/>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_Toc8706 </w:instrText>
          </w:r>
          <w:r>
            <w:rPr>
              <w:rFonts w:ascii="宋体" w:hAnsi="宋体" w:eastAsia="宋体" w:cs="宋体"/>
              <w:spacing w:val="5"/>
              <w:kern w:val="0"/>
              <w:szCs w:val="24"/>
            </w:rPr>
            <w:fldChar w:fldCharType="separate"/>
          </w:r>
          <w:r>
            <w:rPr>
              <w:rFonts w:hint="eastAsia"/>
            </w:rPr>
            <w:t>第十二条【主体责任制】</w:t>
          </w:r>
          <w:r>
            <w:tab/>
          </w:r>
          <w:r>
            <w:fldChar w:fldCharType="begin"/>
          </w:r>
          <w:r>
            <w:instrText xml:space="preserve"> PAGEREF _Toc8706 \h </w:instrText>
          </w:r>
          <w:r>
            <w:fldChar w:fldCharType="separate"/>
          </w:r>
          <w:r>
            <w:t>5</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_Toc17661 </w:instrText>
          </w:r>
          <w:r>
            <w:rPr>
              <w:rFonts w:ascii="宋体" w:hAnsi="宋体" w:eastAsia="宋体" w:cs="宋体"/>
              <w:spacing w:val="5"/>
              <w:kern w:val="0"/>
              <w:szCs w:val="24"/>
            </w:rPr>
            <w:fldChar w:fldCharType="separate"/>
          </w:r>
          <w:r>
            <w:rPr>
              <w:rFonts w:hint="eastAsia"/>
            </w:rPr>
            <w:t>第十三条【门前三包】</w:t>
          </w:r>
          <w:r>
            <w:tab/>
          </w:r>
          <w:r>
            <w:fldChar w:fldCharType="begin"/>
          </w:r>
          <w:r>
            <w:instrText xml:space="preserve"> PAGEREF _Toc17661 \h </w:instrText>
          </w:r>
          <w:r>
            <w:fldChar w:fldCharType="separate"/>
          </w:r>
          <w:r>
            <w:t>5</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_Toc9488 </w:instrText>
          </w:r>
          <w:r>
            <w:rPr>
              <w:rFonts w:ascii="宋体" w:hAnsi="宋体" w:eastAsia="宋体" w:cs="宋体"/>
              <w:spacing w:val="5"/>
              <w:kern w:val="0"/>
              <w:szCs w:val="24"/>
            </w:rPr>
            <w:fldChar w:fldCharType="separate"/>
          </w:r>
          <w:r>
            <w:rPr>
              <w:rFonts w:hint="eastAsia"/>
            </w:rPr>
            <w:t>第十四条【责任人制度】</w:t>
          </w:r>
          <w:r>
            <w:tab/>
          </w:r>
          <w:r>
            <w:fldChar w:fldCharType="begin"/>
          </w:r>
          <w:r>
            <w:instrText xml:space="preserve"> PAGEREF _Toc9488 \h </w:instrText>
          </w:r>
          <w:r>
            <w:fldChar w:fldCharType="separate"/>
          </w:r>
          <w:r>
            <w:t>5</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_Toc21477 </w:instrText>
          </w:r>
          <w:r>
            <w:rPr>
              <w:rFonts w:ascii="宋体" w:hAnsi="宋体" w:eastAsia="宋体" w:cs="宋体"/>
              <w:spacing w:val="5"/>
              <w:kern w:val="0"/>
              <w:szCs w:val="24"/>
            </w:rPr>
            <w:fldChar w:fldCharType="separate"/>
          </w:r>
          <w:r>
            <w:rPr>
              <w:rFonts w:hint="eastAsia"/>
            </w:rPr>
            <w:t>第十五条【责任告知】</w:t>
          </w:r>
          <w:r>
            <w:tab/>
          </w:r>
          <w:r>
            <w:fldChar w:fldCharType="begin"/>
          </w:r>
          <w:r>
            <w:instrText xml:space="preserve"> PAGEREF _Toc21477 \h </w:instrText>
          </w:r>
          <w:r>
            <w:fldChar w:fldCharType="separate"/>
          </w:r>
          <w:r>
            <w:t>6</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_Toc17386 </w:instrText>
          </w:r>
          <w:r>
            <w:rPr>
              <w:rFonts w:ascii="宋体" w:hAnsi="宋体" w:eastAsia="宋体" w:cs="宋体"/>
              <w:spacing w:val="5"/>
              <w:kern w:val="0"/>
              <w:szCs w:val="24"/>
            </w:rPr>
            <w:fldChar w:fldCharType="separate"/>
          </w:r>
          <w:r>
            <w:rPr>
              <w:rFonts w:hint="eastAsia"/>
            </w:rPr>
            <w:t>第十六条【监督检查】</w:t>
          </w:r>
          <w:r>
            <w:tab/>
          </w:r>
          <w:r>
            <w:fldChar w:fldCharType="begin"/>
          </w:r>
          <w:r>
            <w:instrText xml:space="preserve"> PAGEREF _Toc17386 \h </w:instrText>
          </w:r>
          <w:r>
            <w:fldChar w:fldCharType="separate"/>
          </w:r>
          <w:r>
            <w:t>6</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_Toc319 </w:instrText>
          </w:r>
          <w:r>
            <w:rPr>
              <w:rFonts w:ascii="宋体" w:hAnsi="宋体" w:eastAsia="宋体" w:cs="宋体"/>
              <w:spacing w:val="5"/>
              <w:kern w:val="0"/>
              <w:szCs w:val="24"/>
            </w:rPr>
            <w:fldChar w:fldCharType="separate"/>
          </w:r>
          <w:r>
            <w:rPr>
              <w:rFonts w:hint="eastAsia"/>
            </w:rPr>
            <w:t>第十七条【紧急情况处理】</w:t>
          </w:r>
          <w:r>
            <w:tab/>
          </w:r>
          <w:r>
            <w:fldChar w:fldCharType="begin"/>
          </w:r>
          <w:r>
            <w:instrText xml:space="preserve"> PAGEREF _Toc319 \h </w:instrText>
          </w:r>
          <w:r>
            <w:fldChar w:fldCharType="separate"/>
          </w:r>
          <w:r>
            <w:t>6</w:t>
          </w:r>
          <w:r>
            <w:fldChar w:fldCharType="end"/>
          </w:r>
          <w:r>
            <w:rPr>
              <w:rFonts w:ascii="宋体" w:hAnsi="宋体" w:eastAsia="宋体" w:cs="宋体"/>
              <w:color w:val="000000"/>
              <w:spacing w:val="5"/>
              <w:kern w:val="0"/>
              <w:szCs w:val="24"/>
            </w:rPr>
            <w:fldChar w:fldCharType="end"/>
          </w:r>
        </w:p>
        <w:p>
          <w:pPr>
            <w:pStyle w:val="48"/>
            <w:tabs>
              <w:tab w:val="right" w:leader="dot" w:pos="9070"/>
            </w:tabs>
            <w:rPr>
              <w:b/>
            </w:rPr>
          </w:pPr>
          <w:r>
            <w:rPr>
              <w:rFonts w:ascii="宋体" w:hAnsi="宋体" w:eastAsia="宋体" w:cs="宋体"/>
              <w:b/>
              <w:color w:val="000000"/>
              <w:spacing w:val="5"/>
              <w:kern w:val="0"/>
              <w:szCs w:val="24"/>
            </w:rPr>
            <w:fldChar w:fldCharType="begin"/>
          </w:r>
          <w:r>
            <w:rPr>
              <w:rFonts w:ascii="宋体" w:hAnsi="宋体" w:eastAsia="宋体" w:cs="宋体"/>
              <w:b/>
              <w:spacing w:val="5"/>
              <w:kern w:val="0"/>
              <w:szCs w:val="24"/>
            </w:rPr>
            <w:instrText xml:space="preserve"> HYPERLINK \l _Toc22596 </w:instrText>
          </w:r>
          <w:r>
            <w:rPr>
              <w:rFonts w:ascii="宋体" w:hAnsi="宋体" w:eastAsia="宋体" w:cs="宋体"/>
              <w:b/>
              <w:spacing w:val="5"/>
              <w:kern w:val="0"/>
              <w:szCs w:val="24"/>
            </w:rPr>
            <w:fldChar w:fldCharType="separate"/>
          </w:r>
          <w:r>
            <w:rPr>
              <w:rFonts w:hint="eastAsia"/>
              <w:b/>
            </w:rPr>
            <w:t>第三章 市容管理</w:t>
          </w:r>
          <w:r>
            <w:rPr>
              <w:b/>
            </w:rPr>
            <w:tab/>
          </w:r>
          <w:r>
            <w:rPr>
              <w:b/>
            </w:rPr>
            <w:fldChar w:fldCharType="begin"/>
          </w:r>
          <w:r>
            <w:rPr>
              <w:b/>
            </w:rPr>
            <w:instrText xml:space="preserve"> PAGEREF _Toc22596 \h </w:instrText>
          </w:r>
          <w:r>
            <w:rPr>
              <w:b/>
            </w:rPr>
            <w:fldChar w:fldCharType="separate"/>
          </w:r>
          <w:r>
            <w:rPr>
              <w:b/>
            </w:rPr>
            <w:t>7</w:t>
          </w:r>
          <w:r>
            <w:rPr>
              <w:b/>
            </w:rPr>
            <w:fldChar w:fldCharType="end"/>
          </w:r>
          <w:r>
            <w:rPr>
              <w:rFonts w:ascii="宋体" w:hAnsi="宋体" w:eastAsia="宋体" w:cs="宋体"/>
              <w:b/>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_Toc16537 </w:instrText>
          </w:r>
          <w:r>
            <w:rPr>
              <w:rFonts w:ascii="宋体" w:hAnsi="宋体" w:eastAsia="宋体" w:cs="宋体"/>
              <w:spacing w:val="5"/>
              <w:kern w:val="0"/>
              <w:szCs w:val="24"/>
            </w:rPr>
            <w:fldChar w:fldCharType="separate"/>
          </w:r>
          <w:r>
            <w:rPr>
              <w:rFonts w:hint="eastAsia"/>
            </w:rPr>
            <w:t>第十八条【城市容貌】</w:t>
          </w:r>
          <w:r>
            <w:tab/>
          </w:r>
          <w:r>
            <w:fldChar w:fldCharType="begin"/>
          </w:r>
          <w:r>
            <w:instrText xml:space="preserve"> PAGEREF _Toc16537 \h </w:instrText>
          </w:r>
          <w:r>
            <w:fldChar w:fldCharType="separate"/>
          </w:r>
          <w:r>
            <w:t>7</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_Toc12318 </w:instrText>
          </w:r>
          <w:r>
            <w:rPr>
              <w:rFonts w:ascii="宋体" w:hAnsi="宋体" w:eastAsia="宋体" w:cs="宋体"/>
              <w:spacing w:val="5"/>
              <w:kern w:val="0"/>
              <w:szCs w:val="24"/>
            </w:rPr>
            <w:fldChar w:fldCharType="separate"/>
          </w:r>
          <w:r>
            <w:rPr>
              <w:rFonts w:hint="eastAsia"/>
            </w:rPr>
            <w:t>第十九条【建（构）筑物容貌】</w:t>
          </w:r>
          <w:r>
            <w:tab/>
          </w:r>
          <w:r>
            <w:fldChar w:fldCharType="begin"/>
          </w:r>
          <w:r>
            <w:instrText xml:space="preserve"> PAGEREF _Toc12318 \h </w:instrText>
          </w:r>
          <w:r>
            <w:fldChar w:fldCharType="separate"/>
          </w:r>
          <w:r>
            <w:t>7</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_Toc22005 </w:instrText>
          </w:r>
          <w:r>
            <w:rPr>
              <w:rFonts w:ascii="宋体" w:hAnsi="宋体" w:eastAsia="宋体" w:cs="宋体"/>
              <w:spacing w:val="5"/>
              <w:kern w:val="0"/>
              <w:szCs w:val="24"/>
            </w:rPr>
            <w:fldChar w:fldCharType="separate"/>
          </w:r>
          <w:r>
            <w:rPr>
              <w:rFonts w:hint="eastAsia"/>
            </w:rPr>
            <w:t xml:space="preserve">第二十条【道路容貌】 </w:t>
          </w:r>
          <w:r>
            <w:tab/>
          </w:r>
          <w:r>
            <w:fldChar w:fldCharType="begin"/>
          </w:r>
          <w:r>
            <w:instrText xml:space="preserve"> PAGEREF _Toc22005 \h </w:instrText>
          </w:r>
          <w:r>
            <w:fldChar w:fldCharType="separate"/>
          </w:r>
          <w:r>
            <w:t>7</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_Toc32104 </w:instrText>
          </w:r>
          <w:r>
            <w:rPr>
              <w:rFonts w:ascii="宋体" w:hAnsi="宋体" w:eastAsia="宋体" w:cs="宋体"/>
              <w:spacing w:val="5"/>
              <w:kern w:val="0"/>
              <w:szCs w:val="24"/>
            </w:rPr>
            <w:fldChar w:fldCharType="separate"/>
          </w:r>
          <w:r>
            <w:rPr>
              <w:rFonts w:hint="eastAsia"/>
            </w:rPr>
            <w:t>第二十一条【井沟盖维护】</w:t>
          </w:r>
          <w:r>
            <w:tab/>
          </w:r>
          <w:r>
            <w:fldChar w:fldCharType="begin"/>
          </w:r>
          <w:r>
            <w:instrText xml:space="preserve"> PAGEREF _Toc32104 \h </w:instrText>
          </w:r>
          <w:r>
            <w:fldChar w:fldCharType="separate"/>
          </w:r>
          <w:r>
            <w:t>7</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_Toc6550 </w:instrText>
          </w:r>
          <w:r>
            <w:rPr>
              <w:rFonts w:ascii="宋体" w:hAnsi="宋体" w:eastAsia="宋体" w:cs="宋体"/>
              <w:spacing w:val="5"/>
              <w:kern w:val="0"/>
              <w:szCs w:val="24"/>
            </w:rPr>
            <w:fldChar w:fldCharType="separate"/>
          </w:r>
          <w:r>
            <w:rPr>
              <w:rFonts w:hint="eastAsia"/>
            </w:rPr>
            <w:t>第二十二条【道路车辆管理】</w:t>
          </w:r>
          <w:r>
            <w:tab/>
          </w:r>
          <w:r>
            <w:fldChar w:fldCharType="begin"/>
          </w:r>
          <w:r>
            <w:instrText xml:space="preserve"> PAGEREF _Toc6550 \h </w:instrText>
          </w:r>
          <w:r>
            <w:fldChar w:fldCharType="separate"/>
          </w:r>
          <w:r>
            <w:t>8</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_Toc13609 </w:instrText>
          </w:r>
          <w:r>
            <w:rPr>
              <w:rFonts w:ascii="宋体" w:hAnsi="宋体" w:eastAsia="宋体" w:cs="宋体"/>
              <w:spacing w:val="5"/>
              <w:kern w:val="0"/>
              <w:szCs w:val="24"/>
            </w:rPr>
            <w:fldChar w:fldCharType="separate"/>
          </w:r>
          <w:r>
            <w:rPr>
              <w:rFonts w:hint="eastAsia"/>
            </w:rPr>
            <w:t>第二十三条【道路临时停车管理】</w:t>
          </w:r>
          <w:r>
            <w:tab/>
          </w:r>
          <w:r>
            <w:fldChar w:fldCharType="begin"/>
          </w:r>
          <w:r>
            <w:instrText xml:space="preserve"> PAGEREF _Toc13609 \h </w:instrText>
          </w:r>
          <w:r>
            <w:fldChar w:fldCharType="separate"/>
          </w:r>
          <w:r>
            <w:t>8</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_Toc23303 </w:instrText>
          </w:r>
          <w:r>
            <w:rPr>
              <w:rFonts w:ascii="宋体" w:hAnsi="宋体" w:eastAsia="宋体" w:cs="宋体"/>
              <w:spacing w:val="5"/>
              <w:kern w:val="0"/>
              <w:szCs w:val="24"/>
            </w:rPr>
            <w:fldChar w:fldCharType="separate"/>
          </w:r>
          <w:r>
            <w:rPr>
              <w:rFonts w:hint="eastAsia"/>
            </w:rPr>
            <w:t xml:space="preserve">第二十四条【公共场所管理】 </w:t>
          </w:r>
          <w:r>
            <w:tab/>
          </w:r>
          <w:r>
            <w:fldChar w:fldCharType="begin"/>
          </w:r>
          <w:r>
            <w:instrText xml:space="preserve"> PAGEREF _Toc23303 \h </w:instrText>
          </w:r>
          <w:r>
            <w:fldChar w:fldCharType="separate"/>
          </w:r>
          <w:r>
            <w:t>8</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_Toc25815 </w:instrText>
          </w:r>
          <w:r>
            <w:rPr>
              <w:rFonts w:ascii="宋体" w:hAnsi="宋体" w:eastAsia="宋体" w:cs="宋体"/>
              <w:spacing w:val="5"/>
              <w:kern w:val="0"/>
              <w:szCs w:val="24"/>
            </w:rPr>
            <w:fldChar w:fldCharType="separate"/>
          </w:r>
          <w:r>
            <w:rPr>
              <w:rFonts w:hint="eastAsia"/>
            </w:rPr>
            <w:t>第二十五条【流动摊贩管理】</w:t>
          </w:r>
          <w:r>
            <w:tab/>
          </w:r>
          <w:r>
            <w:fldChar w:fldCharType="begin"/>
          </w:r>
          <w:r>
            <w:instrText xml:space="preserve"> PAGEREF _Toc25815 \h </w:instrText>
          </w:r>
          <w:r>
            <w:fldChar w:fldCharType="separate"/>
          </w:r>
          <w:r>
            <w:t>8</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_Toc26011 </w:instrText>
          </w:r>
          <w:r>
            <w:rPr>
              <w:rFonts w:ascii="宋体" w:hAnsi="宋体" w:eastAsia="宋体" w:cs="宋体"/>
              <w:spacing w:val="5"/>
              <w:kern w:val="0"/>
              <w:szCs w:val="24"/>
            </w:rPr>
            <w:fldChar w:fldCharType="separate"/>
          </w:r>
          <w:r>
            <w:rPr>
              <w:rFonts w:hint="eastAsia"/>
            </w:rPr>
            <w:t>第二十六条【临街经营管理】</w:t>
          </w:r>
          <w:r>
            <w:tab/>
          </w:r>
          <w:r>
            <w:fldChar w:fldCharType="begin"/>
          </w:r>
          <w:r>
            <w:instrText xml:space="preserve"> PAGEREF _Toc26011 \h </w:instrText>
          </w:r>
          <w:r>
            <w:fldChar w:fldCharType="separate"/>
          </w:r>
          <w:r>
            <w:t>9</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_Toc5989 </w:instrText>
          </w:r>
          <w:r>
            <w:rPr>
              <w:rFonts w:ascii="宋体" w:hAnsi="宋体" w:eastAsia="宋体" w:cs="宋体"/>
              <w:spacing w:val="5"/>
              <w:kern w:val="0"/>
              <w:szCs w:val="24"/>
            </w:rPr>
            <w:fldChar w:fldCharType="separate"/>
          </w:r>
          <w:r>
            <w:rPr>
              <w:rFonts w:hint="eastAsia"/>
            </w:rPr>
            <w:t>第二十七条【物品吊挂管理】</w:t>
          </w:r>
          <w:r>
            <w:tab/>
          </w:r>
          <w:r>
            <w:fldChar w:fldCharType="begin"/>
          </w:r>
          <w:r>
            <w:instrText xml:space="preserve"> PAGEREF _Toc5989 \h </w:instrText>
          </w:r>
          <w:r>
            <w:fldChar w:fldCharType="separate"/>
          </w:r>
          <w:r>
            <w:t>9</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_Toc31160 </w:instrText>
          </w:r>
          <w:r>
            <w:rPr>
              <w:rFonts w:ascii="宋体" w:hAnsi="宋体" w:eastAsia="宋体" w:cs="宋体"/>
              <w:spacing w:val="5"/>
              <w:kern w:val="0"/>
              <w:szCs w:val="24"/>
            </w:rPr>
            <w:fldChar w:fldCharType="separate"/>
          </w:r>
          <w:r>
            <w:rPr>
              <w:rFonts w:hint="eastAsia"/>
            </w:rPr>
            <w:t>第二十八条【绿地养护】</w:t>
          </w:r>
          <w:r>
            <w:tab/>
          </w:r>
          <w:r>
            <w:fldChar w:fldCharType="begin"/>
          </w:r>
          <w:r>
            <w:instrText xml:space="preserve"> PAGEREF _Toc31160 \h </w:instrText>
          </w:r>
          <w:r>
            <w:fldChar w:fldCharType="separate"/>
          </w:r>
          <w:r>
            <w:t>9</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_Toc28630 </w:instrText>
          </w:r>
          <w:r>
            <w:rPr>
              <w:rFonts w:ascii="宋体" w:hAnsi="宋体" w:eastAsia="宋体" w:cs="宋体"/>
              <w:spacing w:val="5"/>
              <w:kern w:val="0"/>
              <w:szCs w:val="24"/>
            </w:rPr>
            <w:fldChar w:fldCharType="separate"/>
          </w:r>
          <w:r>
            <w:rPr>
              <w:rFonts w:hint="eastAsia"/>
            </w:rPr>
            <w:t>第二十九条【绿地保护】</w:t>
          </w:r>
          <w:r>
            <w:tab/>
          </w:r>
          <w:r>
            <w:fldChar w:fldCharType="begin"/>
          </w:r>
          <w:r>
            <w:instrText xml:space="preserve"> PAGEREF _Toc28630 \h </w:instrText>
          </w:r>
          <w:r>
            <w:fldChar w:fldCharType="separate"/>
          </w:r>
          <w:r>
            <w:t>9</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_Toc27050 </w:instrText>
          </w:r>
          <w:r>
            <w:rPr>
              <w:rFonts w:ascii="宋体" w:hAnsi="宋体" w:eastAsia="宋体" w:cs="宋体"/>
              <w:spacing w:val="5"/>
              <w:kern w:val="0"/>
              <w:szCs w:val="24"/>
            </w:rPr>
            <w:fldChar w:fldCharType="separate"/>
          </w:r>
          <w:r>
            <w:rPr>
              <w:rFonts w:hint="eastAsia"/>
            </w:rPr>
            <w:t>第三十条【户外广告或招牌设施管理】</w:t>
          </w:r>
          <w:r>
            <w:tab/>
          </w:r>
          <w:r>
            <w:fldChar w:fldCharType="begin"/>
          </w:r>
          <w:r>
            <w:instrText xml:space="preserve"> PAGEREF _Toc27050 \h </w:instrText>
          </w:r>
          <w:r>
            <w:fldChar w:fldCharType="separate"/>
          </w:r>
          <w:r>
            <w:t>9</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_Toc3414 </w:instrText>
          </w:r>
          <w:r>
            <w:rPr>
              <w:rFonts w:ascii="宋体" w:hAnsi="宋体" w:eastAsia="宋体" w:cs="宋体"/>
              <w:spacing w:val="5"/>
              <w:kern w:val="0"/>
              <w:szCs w:val="24"/>
            </w:rPr>
            <w:fldChar w:fldCharType="separate"/>
          </w:r>
          <w:r>
            <w:rPr>
              <w:rFonts w:hint="eastAsia"/>
            </w:rPr>
            <w:t>第三十一条【公共设施广告禁止】</w:t>
          </w:r>
          <w:r>
            <w:tab/>
          </w:r>
          <w:r>
            <w:fldChar w:fldCharType="begin"/>
          </w:r>
          <w:r>
            <w:instrText xml:space="preserve"> PAGEREF _Toc3414 \h </w:instrText>
          </w:r>
          <w:r>
            <w:fldChar w:fldCharType="separate"/>
          </w:r>
          <w:r>
            <w:t>9</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_Toc15822 </w:instrText>
          </w:r>
          <w:r>
            <w:rPr>
              <w:rFonts w:ascii="宋体" w:hAnsi="宋体" w:eastAsia="宋体" w:cs="宋体"/>
              <w:spacing w:val="5"/>
              <w:kern w:val="0"/>
              <w:szCs w:val="24"/>
            </w:rPr>
            <w:fldChar w:fldCharType="separate"/>
          </w:r>
          <w:r>
            <w:rPr>
              <w:rFonts w:hint="eastAsia"/>
            </w:rPr>
            <w:t>第三十二条【城市照明】</w:t>
          </w:r>
          <w:r>
            <w:tab/>
          </w:r>
          <w:r>
            <w:fldChar w:fldCharType="begin"/>
          </w:r>
          <w:r>
            <w:instrText xml:space="preserve"> PAGEREF _Toc15822 \h </w:instrText>
          </w:r>
          <w:r>
            <w:fldChar w:fldCharType="separate"/>
          </w:r>
          <w:r>
            <w:t>10</w:t>
          </w:r>
          <w:r>
            <w:fldChar w:fldCharType="end"/>
          </w:r>
          <w:r>
            <w:rPr>
              <w:rFonts w:ascii="宋体" w:hAnsi="宋体" w:eastAsia="宋体" w:cs="宋体"/>
              <w:color w:val="000000"/>
              <w:spacing w:val="5"/>
              <w:kern w:val="0"/>
              <w:szCs w:val="24"/>
            </w:rPr>
            <w:fldChar w:fldCharType="end"/>
          </w:r>
        </w:p>
        <w:p>
          <w:pPr>
            <w:pStyle w:val="48"/>
            <w:tabs>
              <w:tab w:val="right" w:leader="dot" w:pos="9070"/>
            </w:tabs>
            <w:rPr>
              <w:b/>
            </w:rPr>
          </w:pPr>
          <w:r>
            <w:rPr>
              <w:rFonts w:ascii="宋体" w:hAnsi="宋体" w:eastAsia="宋体" w:cs="宋体"/>
              <w:b/>
              <w:color w:val="000000"/>
              <w:spacing w:val="5"/>
              <w:kern w:val="0"/>
              <w:szCs w:val="24"/>
            </w:rPr>
            <w:fldChar w:fldCharType="begin"/>
          </w:r>
          <w:r>
            <w:rPr>
              <w:rFonts w:ascii="宋体" w:hAnsi="宋体" w:eastAsia="宋体" w:cs="宋体"/>
              <w:b/>
              <w:spacing w:val="5"/>
              <w:kern w:val="0"/>
              <w:szCs w:val="24"/>
            </w:rPr>
            <w:instrText xml:space="preserve"> HYPERLINK \l _Toc11556 </w:instrText>
          </w:r>
          <w:r>
            <w:rPr>
              <w:rFonts w:ascii="宋体" w:hAnsi="宋体" w:eastAsia="宋体" w:cs="宋体"/>
              <w:b/>
              <w:spacing w:val="5"/>
              <w:kern w:val="0"/>
              <w:szCs w:val="24"/>
            </w:rPr>
            <w:fldChar w:fldCharType="separate"/>
          </w:r>
          <w:r>
            <w:rPr>
              <w:rFonts w:hint="eastAsia"/>
              <w:b/>
            </w:rPr>
            <w:t>第四章  环境卫生管理</w:t>
          </w:r>
          <w:r>
            <w:rPr>
              <w:b/>
            </w:rPr>
            <w:tab/>
          </w:r>
          <w:r>
            <w:rPr>
              <w:b/>
            </w:rPr>
            <w:fldChar w:fldCharType="begin"/>
          </w:r>
          <w:r>
            <w:rPr>
              <w:b/>
            </w:rPr>
            <w:instrText xml:space="preserve"> PAGEREF _Toc11556 \h </w:instrText>
          </w:r>
          <w:r>
            <w:rPr>
              <w:b/>
            </w:rPr>
            <w:fldChar w:fldCharType="separate"/>
          </w:r>
          <w:r>
            <w:rPr>
              <w:b/>
            </w:rPr>
            <w:t>10</w:t>
          </w:r>
          <w:r>
            <w:rPr>
              <w:b/>
            </w:rPr>
            <w:fldChar w:fldCharType="end"/>
          </w:r>
          <w:r>
            <w:rPr>
              <w:rFonts w:ascii="宋体" w:hAnsi="宋体" w:eastAsia="宋体" w:cs="宋体"/>
              <w:b/>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_Toc9043 </w:instrText>
          </w:r>
          <w:r>
            <w:rPr>
              <w:rFonts w:ascii="宋体" w:hAnsi="宋体" w:eastAsia="宋体" w:cs="宋体"/>
              <w:spacing w:val="5"/>
              <w:kern w:val="0"/>
              <w:szCs w:val="24"/>
            </w:rPr>
            <w:fldChar w:fldCharType="separate"/>
          </w:r>
          <w:r>
            <w:rPr>
              <w:rFonts w:hint="eastAsia"/>
            </w:rPr>
            <w:t>第三十三条 【卫生设施专项规划】</w:t>
          </w:r>
          <w:r>
            <w:tab/>
          </w:r>
          <w:r>
            <w:fldChar w:fldCharType="begin"/>
          </w:r>
          <w:r>
            <w:instrText xml:space="preserve"> PAGEREF _Toc9043 \h </w:instrText>
          </w:r>
          <w:r>
            <w:fldChar w:fldCharType="separate"/>
          </w:r>
          <w:r>
            <w:t>10</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_Toc24796 </w:instrText>
          </w:r>
          <w:r>
            <w:rPr>
              <w:rFonts w:ascii="宋体" w:hAnsi="宋体" w:eastAsia="宋体" w:cs="宋体"/>
              <w:spacing w:val="5"/>
              <w:kern w:val="0"/>
              <w:szCs w:val="24"/>
            </w:rPr>
            <w:fldChar w:fldCharType="separate"/>
          </w:r>
          <w:r>
            <w:rPr>
              <w:rFonts w:hint="eastAsia"/>
            </w:rPr>
            <w:t>第三十四条【环境卫生设施配置】</w:t>
          </w:r>
          <w:r>
            <w:tab/>
          </w:r>
          <w:r>
            <w:fldChar w:fldCharType="begin"/>
          </w:r>
          <w:r>
            <w:instrText xml:space="preserve"> PAGEREF _Toc24796 \h </w:instrText>
          </w:r>
          <w:r>
            <w:fldChar w:fldCharType="separate"/>
          </w:r>
          <w:r>
            <w:t>10</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_Toc16882 </w:instrText>
          </w:r>
          <w:r>
            <w:rPr>
              <w:rFonts w:ascii="宋体" w:hAnsi="宋体" w:eastAsia="宋体" w:cs="宋体"/>
              <w:spacing w:val="5"/>
              <w:kern w:val="0"/>
              <w:szCs w:val="24"/>
            </w:rPr>
            <w:fldChar w:fldCharType="separate"/>
          </w:r>
          <w:r>
            <w:rPr>
              <w:rFonts w:hint="eastAsia"/>
            </w:rPr>
            <w:t>第三十五条【建设单位环境卫生责任】</w:t>
          </w:r>
          <w:r>
            <w:tab/>
          </w:r>
          <w:r>
            <w:fldChar w:fldCharType="begin"/>
          </w:r>
          <w:r>
            <w:instrText xml:space="preserve"> PAGEREF _Toc16882 \h </w:instrText>
          </w:r>
          <w:r>
            <w:fldChar w:fldCharType="separate"/>
          </w:r>
          <w:r>
            <w:t>10</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_Toc9171 </w:instrText>
          </w:r>
          <w:r>
            <w:rPr>
              <w:rFonts w:ascii="宋体" w:hAnsi="宋体" w:eastAsia="宋体" w:cs="宋体"/>
              <w:spacing w:val="5"/>
              <w:kern w:val="0"/>
              <w:szCs w:val="24"/>
            </w:rPr>
            <w:fldChar w:fldCharType="separate"/>
          </w:r>
          <w:r>
            <w:rPr>
              <w:rFonts w:hint="eastAsia"/>
            </w:rPr>
            <w:t>第三十六条【环境卫生设施维护】</w:t>
          </w:r>
          <w:r>
            <w:tab/>
          </w:r>
          <w:r>
            <w:fldChar w:fldCharType="begin"/>
          </w:r>
          <w:r>
            <w:instrText xml:space="preserve"> PAGEREF _Toc9171 \h </w:instrText>
          </w:r>
          <w:r>
            <w:fldChar w:fldCharType="separate"/>
          </w:r>
          <w:r>
            <w:t>10</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_Toc14390 </w:instrText>
          </w:r>
          <w:r>
            <w:rPr>
              <w:rFonts w:ascii="宋体" w:hAnsi="宋体" w:eastAsia="宋体" w:cs="宋体"/>
              <w:spacing w:val="5"/>
              <w:kern w:val="0"/>
              <w:szCs w:val="24"/>
            </w:rPr>
            <w:fldChar w:fldCharType="separate"/>
          </w:r>
          <w:r>
            <w:rPr>
              <w:rFonts w:hint="eastAsia"/>
            </w:rPr>
            <w:t>第三十七条【禁止行为】</w:t>
          </w:r>
          <w:r>
            <w:tab/>
          </w:r>
          <w:r>
            <w:fldChar w:fldCharType="begin"/>
          </w:r>
          <w:r>
            <w:instrText xml:space="preserve"> PAGEREF _Toc14390 \h </w:instrText>
          </w:r>
          <w:r>
            <w:fldChar w:fldCharType="separate"/>
          </w:r>
          <w:r>
            <w:t>10</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_Toc12460 </w:instrText>
          </w:r>
          <w:r>
            <w:rPr>
              <w:rFonts w:ascii="宋体" w:hAnsi="宋体" w:eastAsia="宋体" w:cs="宋体"/>
              <w:spacing w:val="5"/>
              <w:kern w:val="0"/>
              <w:szCs w:val="24"/>
            </w:rPr>
            <w:fldChar w:fldCharType="separate"/>
          </w:r>
          <w:r>
            <w:rPr>
              <w:rFonts w:hint="eastAsia"/>
            </w:rPr>
            <w:t>第三十八条【大件垃圾投放】</w:t>
          </w:r>
          <w:r>
            <w:tab/>
          </w:r>
          <w:r>
            <w:fldChar w:fldCharType="begin"/>
          </w:r>
          <w:r>
            <w:instrText xml:space="preserve"> PAGEREF _Toc12460 \h </w:instrText>
          </w:r>
          <w:r>
            <w:fldChar w:fldCharType="separate"/>
          </w:r>
          <w:r>
            <w:t>11</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_Toc15193 </w:instrText>
          </w:r>
          <w:r>
            <w:rPr>
              <w:rFonts w:ascii="宋体" w:hAnsi="宋体" w:eastAsia="宋体" w:cs="宋体"/>
              <w:spacing w:val="5"/>
              <w:kern w:val="0"/>
              <w:szCs w:val="24"/>
            </w:rPr>
            <w:fldChar w:fldCharType="separate"/>
          </w:r>
          <w:r>
            <w:rPr>
              <w:rFonts w:hint="eastAsia"/>
            </w:rPr>
            <w:t>第三十九条【餐厨垃圾管理】</w:t>
          </w:r>
          <w:r>
            <w:tab/>
          </w:r>
          <w:r>
            <w:fldChar w:fldCharType="begin"/>
          </w:r>
          <w:r>
            <w:instrText xml:space="preserve"> PAGEREF _Toc15193 \h </w:instrText>
          </w:r>
          <w:r>
            <w:fldChar w:fldCharType="separate"/>
          </w:r>
          <w:r>
            <w:t>11</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_Toc16469 </w:instrText>
          </w:r>
          <w:r>
            <w:rPr>
              <w:rFonts w:ascii="宋体" w:hAnsi="宋体" w:eastAsia="宋体" w:cs="宋体"/>
              <w:spacing w:val="5"/>
              <w:kern w:val="0"/>
              <w:szCs w:val="24"/>
            </w:rPr>
            <w:fldChar w:fldCharType="separate"/>
          </w:r>
          <w:r>
            <w:rPr>
              <w:rFonts w:hint="eastAsia"/>
            </w:rPr>
            <w:t>第四十条【建筑单位施工规定】</w:t>
          </w:r>
          <w:r>
            <w:tab/>
          </w:r>
          <w:r>
            <w:fldChar w:fldCharType="begin"/>
          </w:r>
          <w:r>
            <w:instrText xml:space="preserve"> PAGEREF _Toc16469 \h </w:instrText>
          </w:r>
          <w:r>
            <w:fldChar w:fldCharType="separate"/>
          </w:r>
          <w:r>
            <w:t>11</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_Toc32452 </w:instrText>
          </w:r>
          <w:r>
            <w:rPr>
              <w:rFonts w:ascii="宋体" w:hAnsi="宋体" w:eastAsia="宋体" w:cs="宋体"/>
              <w:spacing w:val="5"/>
              <w:kern w:val="0"/>
              <w:szCs w:val="24"/>
            </w:rPr>
            <w:fldChar w:fldCharType="separate"/>
          </w:r>
          <w:r>
            <w:rPr>
              <w:rFonts w:hint="eastAsia"/>
            </w:rPr>
            <w:t>第四十一条【非正常死亡动物无害化处理】</w:t>
          </w:r>
          <w:r>
            <w:tab/>
          </w:r>
          <w:r>
            <w:fldChar w:fldCharType="begin"/>
          </w:r>
          <w:r>
            <w:instrText xml:space="preserve"> PAGEREF _Toc32452 \h </w:instrText>
          </w:r>
          <w:r>
            <w:fldChar w:fldCharType="separate"/>
          </w:r>
          <w:r>
            <w:t>12</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_Toc26112 </w:instrText>
          </w:r>
          <w:r>
            <w:rPr>
              <w:rFonts w:ascii="宋体" w:hAnsi="宋体" w:eastAsia="宋体" w:cs="宋体"/>
              <w:spacing w:val="5"/>
              <w:kern w:val="0"/>
              <w:szCs w:val="24"/>
            </w:rPr>
            <w:fldChar w:fldCharType="separate"/>
          </w:r>
          <w:r>
            <w:rPr>
              <w:rFonts w:hint="eastAsia"/>
            </w:rPr>
            <w:t>第四十二条【信息化与安全管理】</w:t>
          </w:r>
          <w:r>
            <w:tab/>
          </w:r>
          <w:r>
            <w:fldChar w:fldCharType="begin"/>
          </w:r>
          <w:r>
            <w:instrText xml:space="preserve"> PAGEREF _Toc26112 \h </w:instrText>
          </w:r>
          <w:r>
            <w:fldChar w:fldCharType="separate"/>
          </w:r>
          <w:r>
            <w:t>12</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_Toc26788 </w:instrText>
          </w:r>
          <w:r>
            <w:rPr>
              <w:rFonts w:ascii="宋体" w:hAnsi="宋体" w:eastAsia="宋体" w:cs="宋体"/>
              <w:spacing w:val="5"/>
              <w:kern w:val="0"/>
              <w:szCs w:val="24"/>
            </w:rPr>
            <w:fldChar w:fldCharType="separate"/>
          </w:r>
          <w:r>
            <w:rPr>
              <w:rFonts w:hint="eastAsia"/>
            </w:rPr>
            <w:t>第四十三条【家畜家禽的饲养】</w:t>
          </w:r>
          <w:r>
            <w:tab/>
          </w:r>
          <w:r>
            <w:fldChar w:fldCharType="begin"/>
          </w:r>
          <w:r>
            <w:instrText xml:space="preserve"> PAGEREF _Toc26788 \h </w:instrText>
          </w:r>
          <w:r>
            <w:fldChar w:fldCharType="separate"/>
          </w:r>
          <w:r>
            <w:t>12</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_Toc6106 </w:instrText>
          </w:r>
          <w:r>
            <w:rPr>
              <w:rFonts w:ascii="宋体" w:hAnsi="宋体" w:eastAsia="宋体" w:cs="宋体"/>
              <w:spacing w:val="5"/>
              <w:kern w:val="0"/>
              <w:szCs w:val="24"/>
            </w:rPr>
            <w:fldChar w:fldCharType="separate"/>
          </w:r>
          <w:r>
            <w:rPr>
              <w:rFonts w:hint="eastAsia"/>
            </w:rPr>
            <w:t>第四十四条【宠物饲养】</w:t>
          </w:r>
          <w:r>
            <w:tab/>
          </w:r>
          <w:r>
            <w:fldChar w:fldCharType="begin"/>
          </w:r>
          <w:r>
            <w:instrText xml:space="preserve"> PAGEREF _Toc6106 \h </w:instrText>
          </w:r>
          <w:r>
            <w:fldChar w:fldCharType="separate"/>
          </w:r>
          <w:r>
            <w:t>12</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_Toc1093 </w:instrText>
          </w:r>
          <w:r>
            <w:rPr>
              <w:rFonts w:ascii="宋体" w:hAnsi="宋体" w:eastAsia="宋体" w:cs="宋体"/>
              <w:spacing w:val="5"/>
              <w:kern w:val="0"/>
              <w:szCs w:val="24"/>
            </w:rPr>
            <w:fldChar w:fldCharType="separate"/>
          </w:r>
          <w:r>
            <w:rPr>
              <w:rFonts w:hint="eastAsia"/>
            </w:rPr>
            <w:t>第四十五条【废品收购场地管理】</w:t>
          </w:r>
          <w:r>
            <w:tab/>
          </w:r>
          <w:r>
            <w:fldChar w:fldCharType="begin"/>
          </w:r>
          <w:r>
            <w:instrText xml:space="preserve"> PAGEREF _Toc1093 \h </w:instrText>
          </w:r>
          <w:r>
            <w:fldChar w:fldCharType="separate"/>
          </w:r>
          <w:r>
            <w:t>12</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_Toc12942 </w:instrText>
          </w:r>
          <w:r>
            <w:rPr>
              <w:rFonts w:ascii="宋体" w:hAnsi="宋体" w:eastAsia="宋体" w:cs="宋体"/>
              <w:spacing w:val="5"/>
              <w:kern w:val="0"/>
              <w:szCs w:val="24"/>
            </w:rPr>
            <w:fldChar w:fldCharType="separate"/>
          </w:r>
          <w:r>
            <w:rPr>
              <w:rFonts w:hint="eastAsia"/>
            </w:rPr>
            <w:t>第四十六条【集贸市场卫生管理】</w:t>
          </w:r>
          <w:r>
            <w:tab/>
          </w:r>
          <w:r>
            <w:fldChar w:fldCharType="begin"/>
          </w:r>
          <w:r>
            <w:instrText xml:space="preserve"> PAGEREF _Toc12942 \h </w:instrText>
          </w:r>
          <w:r>
            <w:fldChar w:fldCharType="separate"/>
          </w:r>
          <w:r>
            <w:t>12</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_Toc26629 </w:instrText>
          </w:r>
          <w:r>
            <w:rPr>
              <w:rFonts w:ascii="宋体" w:hAnsi="宋体" w:eastAsia="宋体" w:cs="宋体"/>
              <w:spacing w:val="5"/>
              <w:kern w:val="0"/>
              <w:szCs w:val="24"/>
            </w:rPr>
            <w:fldChar w:fldCharType="separate"/>
          </w:r>
          <w:r>
            <w:rPr>
              <w:rFonts w:hint="eastAsia"/>
            </w:rPr>
            <w:t>第四十七条【车辆清洗、修理等主体卫生责任】</w:t>
          </w:r>
          <w:r>
            <w:tab/>
          </w:r>
          <w:r>
            <w:fldChar w:fldCharType="begin"/>
          </w:r>
          <w:r>
            <w:instrText xml:space="preserve"> PAGEREF _Toc26629 \h </w:instrText>
          </w:r>
          <w:r>
            <w:fldChar w:fldCharType="separate"/>
          </w:r>
          <w:r>
            <w:t>12</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_Toc30170 </w:instrText>
          </w:r>
          <w:r>
            <w:rPr>
              <w:rFonts w:ascii="宋体" w:hAnsi="宋体" w:eastAsia="宋体" w:cs="宋体"/>
              <w:spacing w:val="5"/>
              <w:kern w:val="0"/>
              <w:szCs w:val="24"/>
            </w:rPr>
            <w:fldChar w:fldCharType="separate"/>
          </w:r>
          <w:r>
            <w:rPr>
              <w:rFonts w:hint="eastAsia"/>
            </w:rPr>
            <w:t xml:space="preserve">第四十八条【大型活动卫生管理】 </w:t>
          </w:r>
          <w:r>
            <w:tab/>
          </w:r>
          <w:r>
            <w:fldChar w:fldCharType="begin"/>
          </w:r>
          <w:r>
            <w:instrText xml:space="preserve"> PAGEREF _Toc30170 \h </w:instrText>
          </w:r>
          <w:r>
            <w:fldChar w:fldCharType="separate"/>
          </w:r>
          <w:r>
            <w:t>12</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_Toc13343 </w:instrText>
          </w:r>
          <w:r>
            <w:rPr>
              <w:rFonts w:ascii="宋体" w:hAnsi="宋体" w:eastAsia="宋体" w:cs="宋体"/>
              <w:spacing w:val="5"/>
              <w:kern w:val="0"/>
              <w:szCs w:val="24"/>
            </w:rPr>
            <w:fldChar w:fldCharType="separate"/>
          </w:r>
          <w:r>
            <w:rPr>
              <w:rFonts w:hint="eastAsia"/>
            </w:rPr>
            <w:t>第四十九条【河道、水库卫生管理】</w:t>
          </w:r>
          <w:r>
            <w:tab/>
          </w:r>
          <w:r>
            <w:fldChar w:fldCharType="begin"/>
          </w:r>
          <w:r>
            <w:instrText xml:space="preserve"> PAGEREF _Toc13343 \h </w:instrText>
          </w:r>
          <w:r>
            <w:fldChar w:fldCharType="separate"/>
          </w:r>
          <w:r>
            <w:t>13</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_Toc10935 </w:instrText>
          </w:r>
          <w:r>
            <w:rPr>
              <w:rFonts w:ascii="宋体" w:hAnsi="宋体" w:eastAsia="宋体" w:cs="宋体"/>
              <w:spacing w:val="5"/>
              <w:kern w:val="0"/>
              <w:szCs w:val="24"/>
            </w:rPr>
            <w:fldChar w:fldCharType="separate"/>
          </w:r>
          <w:r>
            <w:rPr>
              <w:rFonts w:hint="eastAsia"/>
            </w:rPr>
            <w:t>第五十条【海洋卫生管理】</w:t>
          </w:r>
          <w:r>
            <w:tab/>
          </w:r>
          <w:r>
            <w:fldChar w:fldCharType="begin"/>
          </w:r>
          <w:r>
            <w:instrText xml:space="preserve"> PAGEREF _Toc10935 \h </w:instrText>
          </w:r>
          <w:r>
            <w:fldChar w:fldCharType="separate"/>
          </w:r>
          <w:r>
            <w:t>13</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_Toc14500 </w:instrText>
          </w:r>
          <w:r>
            <w:rPr>
              <w:rFonts w:ascii="宋体" w:hAnsi="宋体" w:eastAsia="宋体" w:cs="宋体"/>
              <w:spacing w:val="5"/>
              <w:kern w:val="0"/>
              <w:szCs w:val="24"/>
            </w:rPr>
            <w:fldChar w:fldCharType="separate"/>
          </w:r>
          <w:r>
            <w:rPr>
              <w:rFonts w:hint="eastAsia"/>
            </w:rPr>
            <w:t>第五十一条【粪便处理】</w:t>
          </w:r>
          <w:r>
            <w:tab/>
          </w:r>
          <w:r>
            <w:fldChar w:fldCharType="begin"/>
          </w:r>
          <w:r>
            <w:instrText xml:space="preserve"> PAGEREF _Toc14500 \h </w:instrText>
          </w:r>
          <w:r>
            <w:fldChar w:fldCharType="separate"/>
          </w:r>
          <w:r>
            <w:t>13</w:t>
          </w:r>
          <w:r>
            <w:fldChar w:fldCharType="end"/>
          </w:r>
          <w:r>
            <w:rPr>
              <w:rFonts w:ascii="宋体" w:hAnsi="宋体" w:eastAsia="宋体" w:cs="宋体"/>
              <w:color w:val="000000"/>
              <w:spacing w:val="5"/>
              <w:kern w:val="0"/>
              <w:szCs w:val="24"/>
            </w:rPr>
            <w:fldChar w:fldCharType="end"/>
          </w:r>
        </w:p>
        <w:p>
          <w:pPr>
            <w:pStyle w:val="48"/>
            <w:tabs>
              <w:tab w:val="right" w:leader="dot" w:pos="9070"/>
            </w:tabs>
            <w:rPr>
              <w:b/>
            </w:rPr>
          </w:pPr>
          <w:r>
            <w:rPr>
              <w:rFonts w:ascii="宋体" w:hAnsi="宋体" w:eastAsia="宋体" w:cs="宋体"/>
              <w:b/>
              <w:color w:val="000000"/>
              <w:spacing w:val="5"/>
              <w:kern w:val="0"/>
              <w:szCs w:val="24"/>
            </w:rPr>
            <w:fldChar w:fldCharType="begin"/>
          </w:r>
          <w:r>
            <w:rPr>
              <w:rFonts w:ascii="宋体" w:hAnsi="宋体" w:eastAsia="宋体" w:cs="宋体"/>
              <w:b/>
              <w:spacing w:val="5"/>
              <w:kern w:val="0"/>
              <w:szCs w:val="24"/>
            </w:rPr>
            <w:instrText xml:space="preserve"> HYPERLINK \l _Toc26605 </w:instrText>
          </w:r>
          <w:r>
            <w:rPr>
              <w:rFonts w:ascii="宋体" w:hAnsi="宋体" w:eastAsia="宋体" w:cs="宋体"/>
              <w:b/>
              <w:spacing w:val="5"/>
              <w:kern w:val="0"/>
              <w:szCs w:val="24"/>
            </w:rPr>
            <w:fldChar w:fldCharType="separate"/>
          </w:r>
          <w:r>
            <w:rPr>
              <w:rFonts w:hint="eastAsia"/>
              <w:b/>
            </w:rPr>
            <w:t>第五章  法律责任</w:t>
          </w:r>
          <w:r>
            <w:rPr>
              <w:b/>
            </w:rPr>
            <w:tab/>
          </w:r>
          <w:r>
            <w:rPr>
              <w:b/>
            </w:rPr>
            <w:fldChar w:fldCharType="begin"/>
          </w:r>
          <w:r>
            <w:rPr>
              <w:b/>
            </w:rPr>
            <w:instrText xml:space="preserve"> PAGEREF _Toc26605 \h </w:instrText>
          </w:r>
          <w:r>
            <w:rPr>
              <w:b/>
            </w:rPr>
            <w:fldChar w:fldCharType="separate"/>
          </w:r>
          <w:r>
            <w:rPr>
              <w:b/>
            </w:rPr>
            <w:t>13</w:t>
          </w:r>
          <w:r>
            <w:rPr>
              <w:b/>
            </w:rPr>
            <w:fldChar w:fldCharType="end"/>
          </w:r>
          <w:r>
            <w:rPr>
              <w:rFonts w:ascii="宋体" w:hAnsi="宋体" w:eastAsia="宋体" w:cs="宋体"/>
              <w:b/>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_Toc1109 </w:instrText>
          </w:r>
          <w:r>
            <w:rPr>
              <w:rFonts w:ascii="宋体" w:hAnsi="宋体" w:eastAsia="宋体" w:cs="宋体"/>
              <w:spacing w:val="5"/>
              <w:kern w:val="0"/>
              <w:szCs w:val="24"/>
            </w:rPr>
            <w:fldChar w:fldCharType="separate"/>
          </w:r>
          <w:r>
            <w:rPr>
              <w:rFonts w:hint="eastAsia"/>
            </w:rPr>
            <w:t>第五十二条【处罚与教育相结合原则】</w:t>
          </w:r>
          <w:r>
            <w:tab/>
          </w:r>
          <w:r>
            <w:fldChar w:fldCharType="begin"/>
          </w:r>
          <w:r>
            <w:instrText xml:space="preserve"> PAGEREF _Toc1109 \h </w:instrText>
          </w:r>
          <w:r>
            <w:fldChar w:fldCharType="separate"/>
          </w:r>
          <w:r>
            <w:t>13</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_Toc20482 </w:instrText>
          </w:r>
          <w:r>
            <w:rPr>
              <w:rFonts w:ascii="宋体" w:hAnsi="宋体" w:eastAsia="宋体" w:cs="宋体"/>
              <w:spacing w:val="5"/>
              <w:kern w:val="0"/>
              <w:szCs w:val="24"/>
            </w:rPr>
            <w:fldChar w:fldCharType="separate"/>
          </w:r>
          <w:r>
            <w:rPr>
              <w:rFonts w:hint="eastAsia"/>
            </w:rPr>
            <w:t>第五十三条【违反门前三包法律责任】</w:t>
          </w:r>
          <w:r>
            <w:tab/>
          </w:r>
          <w:r>
            <w:fldChar w:fldCharType="begin"/>
          </w:r>
          <w:r>
            <w:instrText xml:space="preserve"> PAGEREF _Toc20482 \h </w:instrText>
          </w:r>
          <w:r>
            <w:fldChar w:fldCharType="separate"/>
          </w:r>
          <w:r>
            <w:t>13</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_Toc27457 </w:instrText>
          </w:r>
          <w:r>
            <w:rPr>
              <w:rFonts w:ascii="宋体" w:hAnsi="宋体" w:eastAsia="宋体" w:cs="宋体"/>
              <w:spacing w:val="5"/>
              <w:kern w:val="0"/>
              <w:szCs w:val="24"/>
            </w:rPr>
            <w:fldChar w:fldCharType="separate"/>
          </w:r>
          <w:r>
            <w:rPr>
              <w:rFonts w:hint="eastAsia"/>
            </w:rPr>
            <w:t>第五十四条【违反市容管理法律责任】</w:t>
          </w:r>
          <w:r>
            <w:tab/>
          </w:r>
          <w:r>
            <w:fldChar w:fldCharType="begin"/>
          </w:r>
          <w:r>
            <w:instrText xml:space="preserve"> PAGEREF _Toc27457 \h </w:instrText>
          </w:r>
          <w:r>
            <w:fldChar w:fldCharType="separate"/>
          </w:r>
          <w:r>
            <w:t>13</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_Toc15331 </w:instrText>
          </w:r>
          <w:r>
            <w:rPr>
              <w:rFonts w:ascii="宋体" w:hAnsi="宋体" w:eastAsia="宋体" w:cs="宋体"/>
              <w:spacing w:val="5"/>
              <w:kern w:val="0"/>
              <w:szCs w:val="24"/>
            </w:rPr>
            <w:fldChar w:fldCharType="separate"/>
          </w:r>
          <w:r>
            <w:rPr>
              <w:rFonts w:hint="eastAsia"/>
            </w:rPr>
            <w:t>第五十五条【违反环境卫生管理法律责任】</w:t>
          </w:r>
          <w:r>
            <w:tab/>
          </w:r>
          <w:r>
            <w:fldChar w:fldCharType="begin"/>
          </w:r>
          <w:r>
            <w:instrText xml:space="preserve"> PAGEREF _Toc15331 \h </w:instrText>
          </w:r>
          <w:r>
            <w:fldChar w:fldCharType="separate"/>
          </w:r>
          <w:r>
            <w:t>15</w:t>
          </w:r>
          <w:r>
            <w:fldChar w:fldCharType="end"/>
          </w:r>
          <w:r>
            <w:rPr>
              <w:rFonts w:ascii="宋体" w:hAnsi="宋体" w:eastAsia="宋体" w:cs="宋体"/>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_Toc19278 </w:instrText>
          </w:r>
          <w:r>
            <w:rPr>
              <w:rFonts w:ascii="宋体" w:hAnsi="宋体" w:eastAsia="宋体" w:cs="宋体"/>
              <w:spacing w:val="5"/>
              <w:kern w:val="0"/>
              <w:szCs w:val="24"/>
            </w:rPr>
            <w:fldChar w:fldCharType="separate"/>
          </w:r>
          <w:r>
            <w:rPr>
              <w:rFonts w:hint="eastAsia"/>
            </w:rPr>
            <w:t>第五十六条【执法主体责任】</w:t>
          </w:r>
          <w:r>
            <w:tab/>
          </w:r>
          <w:r>
            <w:fldChar w:fldCharType="begin"/>
          </w:r>
          <w:r>
            <w:instrText xml:space="preserve"> PAGEREF _Toc19278 \h </w:instrText>
          </w:r>
          <w:r>
            <w:fldChar w:fldCharType="separate"/>
          </w:r>
          <w:r>
            <w:t>16</w:t>
          </w:r>
          <w:r>
            <w:fldChar w:fldCharType="end"/>
          </w:r>
          <w:r>
            <w:rPr>
              <w:rFonts w:ascii="宋体" w:hAnsi="宋体" w:eastAsia="宋体" w:cs="宋体"/>
              <w:color w:val="000000"/>
              <w:spacing w:val="5"/>
              <w:kern w:val="0"/>
              <w:szCs w:val="24"/>
            </w:rPr>
            <w:fldChar w:fldCharType="end"/>
          </w:r>
        </w:p>
        <w:p>
          <w:pPr>
            <w:pStyle w:val="48"/>
            <w:tabs>
              <w:tab w:val="right" w:leader="dot" w:pos="9070"/>
            </w:tabs>
            <w:rPr>
              <w:b/>
            </w:rPr>
          </w:pPr>
          <w:r>
            <w:rPr>
              <w:rFonts w:ascii="宋体" w:hAnsi="宋体" w:eastAsia="宋体" w:cs="宋体"/>
              <w:b/>
              <w:color w:val="000000"/>
              <w:spacing w:val="5"/>
              <w:kern w:val="0"/>
              <w:szCs w:val="24"/>
            </w:rPr>
            <w:fldChar w:fldCharType="begin"/>
          </w:r>
          <w:r>
            <w:rPr>
              <w:rFonts w:ascii="宋体" w:hAnsi="宋体" w:eastAsia="宋体" w:cs="宋体"/>
              <w:b/>
              <w:spacing w:val="5"/>
              <w:kern w:val="0"/>
              <w:szCs w:val="24"/>
            </w:rPr>
            <w:instrText xml:space="preserve"> HYPERLINK \l _Toc17946 </w:instrText>
          </w:r>
          <w:r>
            <w:rPr>
              <w:rFonts w:ascii="宋体" w:hAnsi="宋体" w:eastAsia="宋体" w:cs="宋体"/>
              <w:b/>
              <w:spacing w:val="5"/>
              <w:kern w:val="0"/>
              <w:szCs w:val="24"/>
            </w:rPr>
            <w:fldChar w:fldCharType="separate"/>
          </w:r>
          <w:r>
            <w:rPr>
              <w:rFonts w:hint="eastAsia"/>
              <w:b/>
            </w:rPr>
            <w:t>第六章  附则</w:t>
          </w:r>
          <w:r>
            <w:rPr>
              <w:b/>
            </w:rPr>
            <w:tab/>
          </w:r>
          <w:r>
            <w:rPr>
              <w:b/>
            </w:rPr>
            <w:fldChar w:fldCharType="begin"/>
          </w:r>
          <w:r>
            <w:rPr>
              <w:b/>
            </w:rPr>
            <w:instrText xml:space="preserve"> PAGEREF _Toc17946 \h </w:instrText>
          </w:r>
          <w:r>
            <w:rPr>
              <w:b/>
            </w:rPr>
            <w:fldChar w:fldCharType="separate"/>
          </w:r>
          <w:r>
            <w:rPr>
              <w:b/>
            </w:rPr>
            <w:t>16</w:t>
          </w:r>
          <w:r>
            <w:rPr>
              <w:b/>
            </w:rPr>
            <w:fldChar w:fldCharType="end"/>
          </w:r>
          <w:r>
            <w:rPr>
              <w:rFonts w:ascii="宋体" w:hAnsi="宋体" w:eastAsia="宋体" w:cs="宋体"/>
              <w:b/>
              <w:color w:val="000000"/>
              <w:spacing w:val="5"/>
              <w:kern w:val="0"/>
              <w:szCs w:val="24"/>
            </w:rPr>
            <w:fldChar w:fldCharType="end"/>
          </w:r>
        </w:p>
        <w:p>
          <w:pPr>
            <w:pStyle w:val="49"/>
            <w:tabs>
              <w:tab w:val="right" w:leader="dot" w:pos="9070"/>
            </w:tabs>
          </w:pPr>
          <w:r>
            <w:rPr>
              <w:rFonts w:ascii="宋体" w:hAnsi="宋体" w:eastAsia="宋体" w:cs="宋体"/>
              <w:color w:val="000000"/>
              <w:spacing w:val="5"/>
              <w:kern w:val="0"/>
              <w:szCs w:val="24"/>
            </w:rPr>
            <w:fldChar w:fldCharType="begin"/>
          </w:r>
          <w:r>
            <w:rPr>
              <w:rFonts w:ascii="宋体" w:hAnsi="宋体" w:eastAsia="宋体" w:cs="宋体"/>
              <w:spacing w:val="5"/>
              <w:kern w:val="0"/>
              <w:szCs w:val="24"/>
            </w:rPr>
            <w:instrText xml:space="preserve"> HYPERLINK \l _Toc9233 </w:instrText>
          </w:r>
          <w:r>
            <w:rPr>
              <w:rFonts w:ascii="宋体" w:hAnsi="宋体" w:eastAsia="宋体" w:cs="宋体"/>
              <w:spacing w:val="5"/>
              <w:kern w:val="0"/>
              <w:szCs w:val="24"/>
            </w:rPr>
            <w:fldChar w:fldCharType="separate"/>
          </w:r>
          <w:r>
            <w:rPr>
              <w:rFonts w:hint="eastAsia"/>
            </w:rPr>
            <w:t>第五十</w:t>
          </w:r>
          <w:r>
            <w:rPr>
              <w:rFonts w:hint="eastAsia"/>
              <w:lang w:val="en-US" w:eastAsia="zh-CN"/>
            </w:rPr>
            <w:t>七</w:t>
          </w:r>
          <w:r>
            <w:rPr>
              <w:rFonts w:hint="eastAsia"/>
            </w:rPr>
            <w:t>条</w:t>
          </w:r>
          <w:r>
            <w:rPr>
              <w:rFonts w:hint="eastAsia"/>
              <w:lang w:eastAsia="zh-CN"/>
            </w:rPr>
            <w:t>【</w:t>
          </w:r>
          <w:r>
            <w:rPr>
              <w:rFonts w:hint="eastAsia"/>
              <w:lang w:val="en-US" w:eastAsia="zh-CN"/>
            </w:rPr>
            <w:t>生效时间</w:t>
          </w:r>
          <w:r>
            <w:rPr>
              <w:rFonts w:hint="eastAsia"/>
              <w:lang w:eastAsia="zh-CN"/>
            </w:rPr>
            <w:t>】</w:t>
          </w:r>
          <w:r>
            <w:tab/>
          </w:r>
          <w:r>
            <w:fldChar w:fldCharType="begin"/>
          </w:r>
          <w:r>
            <w:instrText xml:space="preserve"> PAGEREF _Toc9233 \h </w:instrText>
          </w:r>
          <w:r>
            <w:fldChar w:fldCharType="separate"/>
          </w:r>
          <w:r>
            <w:t>16</w:t>
          </w:r>
          <w:r>
            <w:fldChar w:fldCharType="end"/>
          </w:r>
          <w:r>
            <w:rPr>
              <w:rFonts w:ascii="宋体" w:hAnsi="宋体" w:eastAsia="宋体" w:cs="宋体"/>
              <w:color w:val="000000"/>
              <w:spacing w:val="5"/>
              <w:kern w:val="0"/>
              <w:szCs w:val="24"/>
            </w:rPr>
            <w:fldChar w:fldCharType="end"/>
          </w:r>
        </w:p>
        <w:p>
          <w:pPr>
            <w:widowControl/>
            <w:adjustRightInd w:val="0"/>
            <w:snapToGrid w:val="0"/>
            <w:spacing w:line="360" w:lineRule="auto"/>
            <w:ind w:firstLine="442" w:firstLineChars="200"/>
            <w:jc w:val="center"/>
            <w:rPr>
              <w:rFonts w:ascii="宋体" w:hAnsi="宋体" w:eastAsia="宋体" w:cs="宋体"/>
              <w:b/>
              <w:color w:val="000000"/>
              <w:spacing w:val="5"/>
              <w:kern w:val="0"/>
              <w:sz w:val="24"/>
              <w:szCs w:val="24"/>
            </w:rPr>
          </w:pPr>
          <w:r>
            <w:rPr>
              <w:rFonts w:ascii="宋体" w:hAnsi="宋体" w:eastAsia="宋体" w:cs="宋体"/>
              <w:b/>
              <w:color w:val="000000"/>
              <w:spacing w:val="5"/>
              <w:kern w:val="0"/>
              <w:szCs w:val="24"/>
            </w:rPr>
            <w:fldChar w:fldCharType="end"/>
          </w:r>
        </w:p>
      </w:sdtContent>
    </w:sdt>
    <w:p>
      <w:pPr>
        <w:widowControl/>
        <w:adjustRightInd w:val="0"/>
        <w:snapToGrid w:val="0"/>
        <w:spacing w:line="360" w:lineRule="auto"/>
        <w:ind w:firstLine="502" w:firstLineChars="200"/>
        <w:jc w:val="center"/>
        <w:rPr>
          <w:rFonts w:ascii="宋体" w:hAnsi="宋体" w:eastAsia="宋体" w:cs="宋体"/>
          <w:b/>
          <w:color w:val="000000"/>
          <w:spacing w:val="5"/>
          <w:kern w:val="0"/>
          <w:sz w:val="24"/>
          <w:szCs w:val="24"/>
        </w:rPr>
      </w:pPr>
    </w:p>
    <w:p>
      <w:pPr>
        <w:widowControl/>
        <w:adjustRightInd w:val="0"/>
        <w:snapToGrid w:val="0"/>
        <w:spacing w:line="360" w:lineRule="auto"/>
        <w:ind w:firstLine="502" w:firstLineChars="200"/>
        <w:jc w:val="center"/>
        <w:rPr>
          <w:rFonts w:ascii="宋体" w:hAnsi="宋体" w:eastAsia="宋体" w:cs="宋体"/>
          <w:b/>
          <w:color w:val="000000"/>
          <w:spacing w:val="5"/>
          <w:kern w:val="0"/>
          <w:sz w:val="24"/>
          <w:szCs w:val="24"/>
        </w:rPr>
      </w:pPr>
    </w:p>
    <w:p>
      <w:pPr>
        <w:widowControl/>
        <w:adjustRightInd w:val="0"/>
        <w:snapToGrid w:val="0"/>
        <w:spacing w:line="360" w:lineRule="auto"/>
        <w:ind w:firstLine="502" w:firstLineChars="200"/>
        <w:jc w:val="center"/>
        <w:rPr>
          <w:rFonts w:ascii="宋体" w:hAnsi="宋体" w:eastAsia="宋体" w:cs="宋体"/>
          <w:b/>
          <w:color w:val="000000"/>
          <w:spacing w:val="5"/>
          <w:kern w:val="0"/>
          <w:sz w:val="24"/>
          <w:szCs w:val="24"/>
        </w:rPr>
      </w:pPr>
    </w:p>
    <w:p>
      <w:pPr>
        <w:widowControl/>
        <w:adjustRightInd w:val="0"/>
        <w:snapToGrid w:val="0"/>
        <w:spacing w:line="360" w:lineRule="auto"/>
        <w:ind w:firstLine="502" w:firstLineChars="200"/>
        <w:jc w:val="center"/>
        <w:rPr>
          <w:rFonts w:ascii="宋体" w:hAnsi="宋体" w:eastAsia="宋体" w:cs="宋体"/>
          <w:b/>
          <w:color w:val="000000"/>
          <w:spacing w:val="5"/>
          <w:kern w:val="0"/>
          <w:sz w:val="24"/>
          <w:szCs w:val="24"/>
        </w:rPr>
      </w:pPr>
    </w:p>
    <w:p>
      <w:pPr>
        <w:widowControl/>
        <w:adjustRightInd w:val="0"/>
        <w:snapToGrid w:val="0"/>
        <w:spacing w:line="360" w:lineRule="auto"/>
        <w:ind w:firstLine="502" w:firstLineChars="200"/>
        <w:jc w:val="center"/>
        <w:rPr>
          <w:rFonts w:ascii="宋体" w:hAnsi="宋体" w:eastAsia="宋体" w:cs="宋体"/>
          <w:b/>
          <w:color w:val="000000"/>
          <w:spacing w:val="5"/>
          <w:kern w:val="0"/>
          <w:sz w:val="24"/>
          <w:szCs w:val="24"/>
        </w:rPr>
      </w:pPr>
    </w:p>
    <w:p>
      <w:pPr>
        <w:widowControl/>
        <w:adjustRightInd w:val="0"/>
        <w:snapToGrid w:val="0"/>
        <w:spacing w:line="360" w:lineRule="auto"/>
        <w:ind w:firstLine="502" w:firstLineChars="200"/>
        <w:jc w:val="center"/>
        <w:rPr>
          <w:rFonts w:ascii="宋体" w:hAnsi="宋体" w:eastAsia="宋体" w:cs="宋体"/>
          <w:b/>
          <w:color w:val="000000"/>
          <w:spacing w:val="5"/>
          <w:kern w:val="0"/>
          <w:sz w:val="24"/>
          <w:szCs w:val="24"/>
        </w:rPr>
      </w:pPr>
    </w:p>
    <w:p>
      <w:pPr>
        <w:widowControl/>
        <w:adjustRightInd w:val="0"/>
        <w:snapToGrid w:val="0"/>
        <w:spacing w:line="360" w:lineRule="auto"/>
        <w:ind w:firstLine="502" w:firstLineChars="200"/>
        <w:jc w:val="center"/>
        <w:rPr>
          <w:rFonts w:ascii="宋体" w:hAnsi="宋体" w:eastAsia="宋体" w:cs="宋体"/>
          <w:b/>
          <w:color w:val="000000"/>
          <w:spacing w:val="5"/>
          <w:kern w:val="0"/>
          <w:sz w:val="24"/>
          <w:szCs w:val="24"/>
        </w:rPr>
      </w:pPr>
    </w:p>
    <w:p>
      <w:pPr>
        <w:widowControl/>
        <w:adjustRightInd w:val="0"/>
        <w:snapToGrid w:val="0"/>
        <w:spacing w:line="360" w:lineRule="auto"/>
        <w:ind w:firstLine="502" w:firstLineChars="200"/>
        <w:jc w:val="center"/>
        <w:rPr>
          <w:rFonts w:ascii="宋体" w:hAnsi="宋体" w:eastAsia="宋体" w:cs="宋体"/>
          <w:b/>
          <w:color w:val="000000"/>
          <w:spacing w:val="5"/>
          <w:kern w:val="0"/>
          <w:sz w:val="24"/>
          <w:szCs w:val="24"/>
        </w:rPr>
      </w:pPr>
    </w:p>
    <w:p>
      <w:pPr>
        <w:widowControl/>
        <w:adjustRightInd w:val="0"/>
        <w:snapToGrid w:val="0"/>
        <w:spacing w:line="360" w:lineRule="auto"/>
        <w:ind w:firstLine="502" w:firstLineChars="200"/>
        <w:jc w:val="center"/>
        <w:rPr>
          <w:rFonts w:ascii="宋体" w:hAnsi="宋体" w:eastAsia="宋体" w:cs="宋体"/>
          <w:b/>
          <w:color w:val="000000"/>
          <w:spacing w:val="5"/>
          <w:kern w:val="0"/>
          <w:sz w:val="24"/>
          <w:szCs w:val="24"/>
        </w:rPr>
      </w:pPr>
    </w:p>
    <w:p>
      <w:pPr>
        <w:widowControl/>
        <w:adjustRightInd w:val="0"/>
        <w:snapToGrid w:val="0"/>
        <w:spacing w:line="360" w:lineRule="auto"/>
        <w:jc w:val="both"/>
        <w:rPr>
          <w:rFonts w:ascii="宋体" w:hAnsi="宋体" w:eastAsia="宋体" w:cs="宋体"/>
          <w:b/>
          <w:color w:val="000000"/>
          <w:spacing w:val="5"/>
          <w:kern w:val="0"/>
          <w:sz w:val="24"/>
          <w:szCs w:val="24"/>
        </w:rPr>
      </w:pPr>
    </w:p>
    <w:p>
      <w:pPr>
        <w:widowControl/>
        <w:adjustRightInd w:val="0"/>
        <w:snapToGrid w:val="0"/>
        <w:spacing w:line="360" w:lineRule="auto"/>
        <w:ind w:firstLine="502" w:firstLineChars="200"/>
        <w:jc w:val="center"/>
        <w:rPr>
          <w:rFonts w:ascii="宋体" w:hAnsi="宋体" w:eastAsia="宋体" w:cs="宋体"/>
          <w:b/>
          <w:color w:val="000000"/>
          <w:spacing w:val="5"/>
          <w:kern w:val="0"/>
          <w:sz w:val="24"/>
          <w:szCs w:val="24"/>
        </w:rPr>
      </w:pPr>
    </w:p>
    <w:p>
      <w:pPr>
        <w:widowControl/>
        <w:adjustRightInd w:val="0"/>
        <w:snapToGrid w:val="0"/>
        <w:spacing w:line="360" w:lineRule="auto"/>
        <w:jc w:val="both"/>
        <w:rPr>
          <w:rFonts w:ascii="宋体" w:hAnsi="宋体" w:eastAsia="宋体" w:cs="宋体"/>
          <w:b/>
          <w:color w:val="000000"/>
          <w:spacing w:val="5"/>
          <w:kern w:val="0"/>
          <w:sz w:val="24"/>
          <w:szCs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jc w:val="center"/>
        <w:textAlignment w:val="auto"/>
        <w:rPr>
          <w:b/>
          <w:bCs/>
          <w:sz w:val="24"/>
          <w:szCs w:val="24"/>
        </w:rPr>
      </w:pPr>
      <w:bookmarkStart w:id="0" w:name="_Toc8403"/>
      <w:bookmarkStart w:id="1" w:name="_Toc6902"/>
      <w:r>
        <w:rPr>
          <w:rFonts w:hint="eastAsia"/>
          <w:b/>
          <w:bCs/>
          <w:sz w:val="24"/>
          <w:szCs w:val="24"/>
        </w:rPr>
        <w:t>第一章 总 则</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2" w:name="_Toc29461"/>
      <w:bookmarkStart w:id="3" w:name="_Toc160566921"/>
      <w:r>
        <w:rPr>
          <w:rFonts w:hint="eastAsia"/>
          <w:b/>
          <w:bCs/>
          <w:sz w:val="24"/>
          <w:szCs w:val="24"/>
        </w:rPr>
        <w:t>第一条</w:t>
      </w:r>
      <w:r>
        <w:rPr>
          <w:rFonts w:hint="eastAsia"/>
          <w:sz w:val="24"/>
          <w:szCs w:val="24"/>
        </w:rPr>
        <w:t>【立法目的与依据】</w:t>
      </w:r>
      <w:bookmarkEnd w:id="2"/>
      <w:bookmarkEnd w:id="3"/>
      <w:r>
        <w:rPr>
          <w:rFonts w:hint="eastAsia"/>
          <w:sz w:val="24"/>
          <w:szCs w:val="24"/>
        </w:rPr>
        <w:t xml:space="preserve"> 为了加强湛江市市容和环境卫生管理，创建整洁、优美、文明的城市环境，根据国务院《城市市容和环境卫生管理条例》和有关法律、法规的规定，结合本市实际，制定本条例。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4" w:name="_Toc160566922"/>
      <w:bookmarkStart w:id="5" w:name="_Toc495"/>
      <w:r>
        <w:rPr>
          <w:rFonts w:hint="eastAsia"/>
          <w:b/>
          <w:bCs/>
          <w:sz w:val="24"/>
          <w:szCs w:val="24"/>
        </w:rPr>
        <w:t>第二条</w:t>
      </w:r>
      <w:r>
        <w:rPr>
          <w:rFonts w:hint="eastAsia"/>
          <w:sz w:val="24"/>
          <w:szCs w:val="24"/>
        </w:rPr>
        <w:t>【适用范围】</w:t>
      </w:r>
      <w:bookmarkEnd w:id="4"/>
      <w:bookmarkEnd w:id="5"/>
      <w:r>
        <w:rPr>
          <w:rFonts w:hint="eastAsia"/>
          <w:sz w:val="24"/>
          <w:szCs w:val="24"/>
        </w:rPr>
        <w:t xml:space="preserve"> 本条例适用于本市行政区域内的城市建成区、乡（镇）人民政府所在地建成区和其他实行城市化管理区域的市容和环境卫生管理工作。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其他实行城市化管理区域的具体范围由县（市、区）人民政府或者经济功能区管理委员会划定并公布。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6" w:name="_Toc31600"/>
      <w:r>
        <w:rPr>
          <w:rFonts w:hint="eastAsia"/>
          <w:b/>
          <w:bCs/>
          <w:sz w:val="24"/>
          <w:szCs w:val="24"/>
        </w:rPr>
        <w:t>第三条</w:t>
      </w:r>
      <w:r>
        <w:rPr>
          <w:rFonts w:hint="eastAsia"/>
          <w:sz w:val="24"/>
          <w:szCs w:val="24"/>
        </w:rPr>
        <w:t>【基本原则】</w:t>
      </w:r>
      <w:bookmarkEnd w:id="6"/>
      <w:r>
        <w:rPr>
          <w:rFonts w:hint="eastAsia"/>
          <w:sz w:val="24"/>
          <w:szCs w:val="24"/>
        </w:rPr>
        <w:t>市容和环境卫生管理工作实行主体责任制度，坚持统一领导与分区负责相结合、公众参与与社会监督相结合、教育与处罚相结合的原则。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7" w:name="_Toc14324"/>
      <w:bookmarkStart w:id="8" w:name="_Toc160566924"/>
      <w:r>
        <w:rPr>
          <w:rFonts w:hint="eastAsia"/>
          <w:b/>
          <w:bCs/>
          <w:sz w:val="24"/>
          <w:szCs w:val="24"/>
        </w:rPr>
        <w:t>第四条</w:t>
      </w:r>
      <w:r>
        <w:rPr>
          <w:rFonts w:hint="eastAsia"/>
          <w:sz w:val="24"/>
          <w:szCs w:val="24"/>
        </w:rPr>
        <w:t>【工作保障】</w:t>
      </w:r>
      <w:bookmarkEnd w:id="7"/>
      <w:bookmarkEnd w:id="8"/>
      <w:r>
        <w:rPr>
          <w:rFonts w:hint="eastAsia"/>
          <w:sz w:val="24"/>
          <w:szCs w:val="24"/>
        </w:rPr>
        <w:t>市、县（市、区）人民政府应当将市容和环境卫生工作纳入本区域国民经济和社会发展规划，所需经费纳入本级财政预算。积极运用现代化信息技术，实现规范化、精细化、便民化的管理，提高市容和环境卫生公共服务能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9" w:name="_Toc30141"/>
      <w:bookmarkStart w:id="10" w:name="_Toc160566925"/>
      <w:r>
        <w:rPr>
          <w:rFonts w:hint="eastAsia"/>
          <w:b/>
          <w:bCs/>
          <w:sz w:val="24"/>
          <w:szCs w:val="24"/>
        </w:rPr>
        <w:t>第五条</w:t>
      </w:r>
      <w:r>
        <w:rPr>
          <w:rFonts w:hint="eastAsia"/>
          <w:sz w:val="24"/>
          <w:szCs w:val="24"/>
        </w:rPr>
        <w:t>【工作协调机制】</w:t>
      </w:r>
      <w:bookmarkEnd w:id="9"/>
      <w:bookmarkEnd w:id="10"/>
      <w:r>
        <w:rPr>
          <w:rFonts w:hint="eastAsia"/>
          <w:sz w:val="24"/>
          <w:szCs w:val="24"/>
        </w:rPr>
        <w:t>市、县（市、区）人民政府成立城市管理委员会，建立城市管理工作联席会议制度，负责市容和环境卫生工作的统筹、协调。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11" w:name="_Toc160566926"/>
      <w:bookmarkStart w:id="12" w:name="_Toc22290"/>
      <w:r>
        <w:rPr>
          <w:rFonts w:hint="eastAsia"/>
          <w:b/>
          <w:bCs/>
          <w:sz w:val="24"/>
          <w:szCs w:val="24"/>
        </w:rPr>
        <w:t>第六条</w:t>
      </w:r>
      <w:r>
        <w:rPr>
          <w:rFonts w:hint="eastAsia"/>
          <w:sz w:val="24"/>
          <w:szCs w:val="24"/>
        </w:rPr>
        <w:t>【管理职责】</w:t>
      </w:r>
      <w:bookmarkEnd w:id="11"/>
      <w:bookmarkEnd w:id="12"/>
      <w:r>
        <w:rPr>
          <w:rFonts w:hint="eastAsia"/>
          <w:sz w:val="24"/>
          <w:szCs w:val="24"/>
        </w:rPr>
        <w:t>市城市管理和综合执法部门负责全市市容和环境卫生管理工作，指导、协调、监督县（市、区）的市容和环境卫生管理工作。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住房城乡建设、自然资源、公安、市场监督管理、商务、生态环境、卫生健康、交通运输、财政、水务、海事、农业农村等主管部门，按照各自职责，共同做好市容和环境卫生管理工作。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各县（市、区）城市管理和综合执法部门（下同），负责本辖区的市容和环境卫生管理工作。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经济功能区管理委员会按照规定职责组织实施管辖范围内的市容环境卫生管理工作。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街道办事处、镇人民政府负责本辖区内的市容环境卫生管理工作。在行政管理过程中发现损害市容环境卫生行为的，应当责令行为人改正，对其进行教育；依法依规给予处罚。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村（居）民委员会应当协助街道办事处、镇人民政府开展市容和环境卫生管理工作，及时发现、报告辖区内市容和环境卫生工作中存在的问题，并配合有关部门进行处理。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13" w:name="_Toc17653"/>
      <w:r>
        <w:rPr>
          <w:rFonts w:hint="eastAsia"/>
          <w:b/>
          <w:bCs/>
          <w:sz w:val="24"/>
          <w:szCs w:val="24"/>
        </w:rPr>
        <w:t>第七条</w:t>
      </w:r>
      <w:r>
        <w:rPr>
          <w:rFonts w:hint="eastAsia"/>
          <w:sz w:val="24"/>
          <w:szCs w:val="24"/>
        </w:rPr>
        <w:t>【执法责任制】</w:t>
      </w:r>
      <w:bookmarkEnd w:id="13"/>
      <w:r>
        <w:rPr>
          <w:rFonts w:hint="eastAsia"/>
          <w:sz w:val="24"/>
          <w:szCs w:val="24"/>
        </w:rPr>
        <w:t xml:space="preserve"> 城市管理和综合执法部门以及有关部门应当依法、规范、公正、文明执法，实行执法责任制和行政过错责任追究制。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14" w:name="_Toc160566928"/>
      <w:bookmarkStart w:id="15" w:name="_Toc24537"/>
      <w:r>
        <w:rPr>
          <w:rFonts w:hint="eastAsia"/>
          <w:b/>
          <w:bCs/>
          <w:sz w:val="24"/>
          <w:szCs w:val="24"/>
        </w:rPr>
        <w:t>第八条</w:t>
      </w:r>
      <w:r>
        <w:rPr>
          <w:rFonts w:hint="eastAsia"/>
          <w:sz w:val="24"/>
          <w:szCs w:val="24"/>
        </w:rPr>
        <w:t>【宣传教育】</w:t>
      </w:r>
      <w:bookmarkEnd w:id="14"/>
      <w:bookmarkEnd w:id="15"/>
      <w:r>
        <w:rPr>
          <w:rFonts w:hint="eastAsia"/>
          <w:sz w:val="24"/>
          <w:szCs w:val="24"/>
        </w:rPr>
        <w:t>市、县（市、区）人民政府应当加强市容和环境卫生法律、法规和科学知识的宣传，提高公民的环境卫生意识，倡导绿色健康的生活方式，养成良好的卫生习惯。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广播、电视、报刊、互联网等新闻媒体，应当开展市容和环境卫生方面的宣传，对市容和环境卫生违法行为进行舆论监督。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16" w:name="_Toc160566929"/>
      <w:bookmarkStart w:id="17" w:name="_Toc21236"/>
      <w:r>
        <w:rPr>
          <w:rFonts w:hint="eastAsia"/>
          <w:b/>
          <w:bCs/>
          <w:sz w:val="24"/>
          <w:szCs w:val="24"/>
        </w:rPr>
        <w:t>第九条</w:t>
      </w:r>
      <w:r>
        <w:rPr>
          <w:rFonts w:hint="eastAsia"/>
          <w:sz w:val="24"/>
          <w:szCs w:val="24"/>
        </w:rPr>
        <w:t>【倡导鼓励】</w:t>
      </w:r>
      <w:bookmarkEnd w:id="16"/>
      <w:bookmarkEnd w:id="17"/>
      <w:r>
        <w:rPr>
          <w:rFonts w:hint="eastAsia"/>
          <w:sz w:val="24"/>
          <w:szCs w:val="24"/>
        </w:rPr>
        <w:t xml:space="preserve"> 市、县（市、区）人民政府应当鼓励、支持市容和环境卫生的科学技术研究，推广使用先进设备和技术</w:t>
      </w:r>
      <w:r>
        <w:rPr>
          <w:rFonts w:hint="eastAsia"/>
          <w:sz w:val="24"/>
          <w:szCs w:val="24"/>
          <w:lang w:eastAsia="zh-CN"/>
        </w:rPr>
        <w:t>，</w:t>
      </w:r>
      <w:r>
        <w:rPr>
          <w:rFonts w:hint="eastAsia"/>
          <w:sz w:val="24"/>
          <w:szCs w:val="24"/>
        </w:rPr>
        <w:t>引入社会力量参与市容和环境卫生工作，推进市容和环境卫生服务市场化、专业化。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18" w:name="_Toc160566930"/>
      <w:bookmarkStart w:id="19" w:name="_Toc6654"/>
      <w:r>
        <w:rPr>
          <w:rFonts w:hint="eastAsia"/>
          <w:b/>
          <w:bCs/>
          <w:sz w:val="24"/>
          <w:szCs w:val="24"/>
        </w:rPr>
        <w:t>第十条</w:t>
      </w:r>
      <w:r>
        <w:rPr>
          <w:rFonts w:hint="eastAsia"/>
          <w:sz w:val="24"/>
          <w:szCs w:val="24"/>
        </w:rPr>
        <w:t>【行业协会】</w:t>
      </w:r>
      <w:bookmarkEnd w:id="18"/>
      <w:bookmarkEnd w:id="19"/>
      <w:r>
        <w:rPr>
          <w:rFonts w:hint="eastAsia"/>
          <w:sz w:val="24"/>
          <w:szCs w:val="24"/>
        </w:rPr>
        <w:t xml:space="preserve"> 环境卫生协会应当协助政府主管部门规范我市市容和环境卫生管理，加强行业自律，建立健全行规行约，提高行业服务质量。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20" w:name="_Toc24770"/>
      <w:r>
        <w:rPr>
          <w:rFonts w:hint="eastAsia"/>
          <w:b/>
          <w:bCs/>
          <w:sz w:val="24"/>
          <w:szCs w:val="24"/>
        </w:rPr>
        <w:t>第十一条</w:t>
      </w:r>
      <w:r>
        <w:rPr>
          <w:rFonts w:hint="eastAsia"/>
          <w:sz w:val="24"/>
          <w:szCs w:val="24"/>
        </w:rPr>
        <w:t>【权利义务】</w:t>
      </w:r>
      <w:bookmarkEnd w:id="20"/>
      <w:r>
        <w:rPr>
          <w:rFonts w:hint="eastAsia"/>
          <w:sz w:val="24"/>
          <w:szCs w:val="24"/>
        </w:rPr>
        <w:t xml:space="preserve"> 任何单位和个人有权制止或者举报破坏市容和环境卫生及其设施的行为，应当尊重市容和环境卫生工作人员的劳动，不得妨碍、阻挠市容和环境卫生工作人员履行职责。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城市管理和综合执法部门应当设立举报电话、举报网络平台，并向社会公布。</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jc w:val="center"/>
        <w:textAlignment w:val="auto"/>
        <w:rPr>
          <w:b/>
          <w:bCs/>
          <w:sz w:val="24"/>
          <w:szCs w:val="24"/>
        </w:rPr>
      </w:pPr>
      <w:bookmarkStart w:id="21" w:name="_Toc29040"/>
      <w:bookmarkStart w:id="22" w:name="_Toc516"/>
      <w:r>
        <w:rPr>
          <w:rFonts w:hint="eastAsia"/>
          <w:b/>
          <w:bCs/>
          <w:sz w:val="24"/>
          <w:szCs w:val="24"/>
        </w:rPr>
        <w:t>第二章 主体责任</w:t>
      </w:r>
      <w:bookmarkEnd w:id="21"/>
      <w:bookmarkEnd w:id="2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23" w:name="_Toc8706"/>
      <w:bookmarkStart w:id="24" w:name="_Toc160566933"/>
      <w:r>
        <w:rPr>
          <w:rFonts w:hint="eastAsia"/>
          <w:b/>
          <w:bCs/>
          <w:sz w:val="24"/>
          <w:szCs w:val="24"/>
        </w:rPr>
        <w:t>第十二条</w:t>
      </w:r>
      <w:r>
        <w:rPr>
          <w:rFonts w:hint="eastAsia"/>
          <w:sz w:val="24"/>
          <w:szCs w:val="24"/>
        </w:rPr>
        <w:t>【主体责任制】</w:t>
      </w:r>
      <w:bookmarkEnd w:id="23"/>
      <w:bookmarkEnd w:id="24"/>
      <w:r>
        <w:rPr>
          <w:rFonts w:hint="eastAsia"/>
          <w:sz w:val="24"/>
          <w:szCs w:val="24"/>
        </w:rPr>
        <w:t>市容和环境卫生管理责任人应当依照本条例规定履行下列主体责任：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bookmarkStart w:id="25" w:name="_Toc2551"/>
      <w:bookmarkStart w:id="26" w:name="_Toc18794"/>
      <w:r>
        <w:rPr>
          <w:rFonts w:hint="eastAsia"/>
          <w:sz w:val="24"/>
          <w:szCs w:val="24"/>
        </w:rPr>
        <w:t>（一）按照规定设置环境卫生设施，并保持其整洁、完好；</w:t>
      </w:r>
      <w:bookmarkEnd w:id="25"/>
      <w:bookmarkEnd w:id="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（二）保持市容整洁，无乱设摊、乱搭建、乱张贴、乱涂写、乱刻画、乱吊挂、乱堆放、乱挖掘、乱停放等行为；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（三）保持环境卫生整洁，无暴露垃圾、粪便、污水，无污迹，无渣土，无鼠蝇蚊蟑等病媒生物孳生地等；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（四）保证噪声排放、光辐射等符合国家标准；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（五）法律、法规规定的其他市容和环境卫生责任。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责任人对责任区内违反市容和环境卫生管理规定的行为有权予以制止，制止无效的可以向市容</w:t>
      </w:r>
      <w:r>
        <w:rPr>
          <w:rFonts w:hint="eastAsia"/>
          <w:sz w:val="24"/>
          <w:szCs w:val="24"/>
          <w:lang w:val="en-US" w:eastAsia="zh-CN"/>
        </w:rPr>
        <w:t>和</w:t>
      </w:r>
      <w:r>
        <w:rPr>
          <w:rFonts w:hint="eastAsia"/>
          <w:sz w:val="24"/>
          <w:szCs w:val="24"/>
        </w:rPr>
        <w:t>环境卫生主管部门报告。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27" w:name="_Toc160566934"/>
      <w:bookmarkStart w:id="28" w:name="_Toc17661"/>
      <w:r>
        <w:rPr>
          <w:rFonts w:hint="eastAsia"/>
          <w:b/>
          <w:bCs/>
          <w:sz w:val="24"/>
          <w:szCs w:val="24"/>
        </w:rPr>
        <w:t>第十三条</w:t>
      </w:r>
      <w:r>
        <w:rPr>
          <w:rFonts w:hint="eastAsia"/>
          <w:sz w:val="24"/>
          <w:szCs w:val="24"/>
        </w:rPr>
        <w:t>【门前三包】</w:t>
      </w:r>
      <w:bookmarkEnd w:id="27"/>
      <w:bookmarkEnd w:id="28"/>
      <w:r>
        <w:rPr>
          <w:rFonts w:hint="eastAsia"/>
          <w:sz w:val="24"/>
          <w:szCs w:val="24"/>
        </w:rPr>
        <w:t xml:space="preserve"> 临街责任主体按照划定的责任区范围，履行“包环境卫生、包市容秩序、包绿化美化”的责任。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市人民政府根据相关规定制定“门前三包”的具体实施办法。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“门前三包”责任主体应当与所在地街道办事处或者乡（镇）人民政府签订“门前三包”责任书。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29" w:name="_Toc9488"/>
      <w:bookmarkStart w:id="30" w:name="_Toc160566935"/>
      <w:r>
        <w:rPr>
          <w:rFonts w:hint="eastAsia"/>
          <w:b/>
          <w:bCs/>
          <w:sz w:val="24"/>
          <w:szCs w:val="24"/>
        </w:rPr>
        <w:t>第十四条</w:t>
      </w:r>
      <w:r>
        <w:rPr>
          <w:rFonts w:hint="eastAsia"/>
          <w:sz w:val="24"/>
          <w:szCs w:val="24"/>
        </w:rPr>
        <w:t>【责任人制度】</w:t>
      </w:r>
      <w:bookmarkEnd w:id="29"/>
      <w:bookmarkEnd w:id="30"/>
      <w:r>
        <w:rPr>
          <w:rFonts w:hint="eastAsia"/>
          <w:sz w:val="24"/>
          <w:szCs w:val="24"/>
        </w:rPr>
        <w:t xml:space="preserve"> 市容和环境</w:t>
      </w:r>
      <w:r>
        <w:rPr>
          <w:rFonts w:hint="eastAsia"/>
          <w:sz w:val="24"/>
          <w:szCs w:val="24"/>
          <w:lang w:val="en-US" w:eastAsia="zh-CN"/>
        </w:rPr>
        <w:t>卫生</w:t>
      </w:r>
      <w:r>
        <w:rPr>
          <w:rFonts w:hint="eastAsia"/>
          <w:sz w:val="24"/>
          <w:szCs w:val="24"/>
        </w:rPr>
        <w:t>责任主体按照以下规定确定：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（一）机关、学校、部队、企事业单位、社会团体及其他组织的办公场所或者经营管理区域由本单位负责；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（二）城市道路、城市绿地、人行天桥、人行地下通道、广场等城市公共区域由管理单位负责；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（三）住宅区由产权人负责，实行物业管理的，由物业管理单位负责；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（四）河道、河涌、湖泊、水库等水域，由管理单位负责；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（五）沿岸海域的海面、沙滩、护坡，由管理单位负责；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（六）在城市水域行驶或者停泊的各类船舶，由船舶经营管理者负责；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（七）旅游区及旅游景点、工业园区、机场、车站、港口、码头、加油（气）站、充电站（点）、停车场、道路停车位、文化体育场（馆）、公园，由管理单位负责；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（八）市场（含集贸市场、临时性聚集市场）、商场、宾馆、饭店，由经营管理者负责；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（九）个体经营场所由经营者负责；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（十）铁路、公路及其沿线由经营管理单位负责；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（十一）建筑工地由建设单位负责，待建地块由使用权人负责，政府储备土地由土地储备机构负责；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（十二）公共厕所、垃圾中转站及其他环境卫生设施由管理单位负责；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（十三）村庄的非市政道路及其附属设施、其他公共场所和基础设施、集体所有的水域等由所在地街道办事处、镇人民政府负责。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权属用地主体的责任区域包含建筑退用地红线地上区域。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按照前款规定责任主体不清的，由所在地街道办事处、镇人民政府根据实际情况确定。城乡</w:t>
      </w:r>
      <w:r>
        <w:rPr>
          <w:rFonts w:hint="eastAsia"/>
          <w:sz w:val="24"/>
          <w:szCs w:val="24"/>
          <w:lang w:eastAsia="zh-CN"/>
        </w:rPr>
        <w:t>接合部</w:t>
      </w:r>
      <w:r>
        <w:rPr>
          <w:rFonts w:hint="eastAsia"/>
          <w:sz w:val="24"/>
          <w:szCs w:val="24"/>
        </w:rPr>
        <w:t>或者行政辖区的接壤地带责任不清的，以及对责任主体的确定存在争议的，由县（市、区）城市管理和综合执法部门确定；跨区的由市城市管理和综合执法部门确定。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责任人对责任区的市容和环境卫生责任，可以自行履行，也可以委托市容环境卫生专业服务单位履行。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31" w:name="_Toc21477"/>
      <w:r>
        <w:rPr>
          <w:rFonts w:hint="eastAsia"/>
          <w:b/>
          <w:bCs/>
          <w:sz w:val="24"/>
          <w:szCs w:val="24"/>
        </w:rPr>
        <w:t>第十五条</w:t>
      </w:r>
      <w:r>
        <w:rPr>
          <w:rFonts w:hint="eastAsia"/>
          <w:sz w:val="24"/>
          <w:szCs w:val="24"/>
        </w:rPr>
        <w:t>【责任告知】</w:t>
      </w:r>
      <w:bookmarkEnd w:id="31"/>
      <w:r>
        <w:rPr>
          <w:rFonts w:hint="eastAsia"/>
          <w:sz w:val="24"/>
          <w:szCs w:val="24"/>
        </w:rPr>
        <w:t>街道办事处、乡镇人民政府应当和责任主体签订责任书，将责任区的具体范围和责任要求告知责任主体，并负责指导、监督、检查市容和环境卫生责任区责任的落实。</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32" w:name="_Toc17386"/>
      <w:r>
        <w:rPr>
          <w:rFonts w:hint="eastAsia"/>
          <w:b/>
          <w:bCs/>
          <w:sz w:val="24"/>
          <w:szCs w:val="24"/>
        </w:rPr>
        <w:t>第十六条</w:t>
      </w:r>
      <w:r>
        <w:rPr>
          <w:rFonts w:hint="eastAsia"/>
          <w:sz w:val="24"/>
          <w:szCs w:val="24"/>
        </w:rPr>
        <w:t>【监督检查】</w:t>
      </w:r>
      <w:bookmarkEnd w:id="32"/>
      <w:r>
        <w:rPr>
          <w:rFonts w:hint="eastAsia"/>
          <w:sz w:val="24"/>
          <w:szCs w:val="24"/>
        </w:rPr>
        <w:t xml:space="preserve"> 城市管理与综合执法部门应当建立和完善市容和环境卫生责任区的监督检查制度，对责任区的市容和环境卫生进行巡查和监管。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33" w:name="_Toc319"/>
      <w:r>
        <w:rPr>
          <w:rFonts w:hint="eastAsia"/>
          <w:b/>
          <w:bCs/>
          <w:sz w:val="24"/>
          <w:szCs w:val="24"/>
        </w:rPr>
        <w:t>第十七条</w:t>
      </w:r>
      <w:r>
        <w:rPr>
          <w:rFonts w:hint="eastAsia"/>
          <w:sz w:val="24"/>
          <w:szCs w:val="24"/>
        </w:rPr>
        <w:t>【紧急情况处理】</w:t>
      </w:r>
      <w:bookmarkEnd w:id="33"/>
      <w:r>
        <w:rPr>
          <w:rFonts w:hint="eastAsia"/>
          <w:sz w:val="24"/>
          <w:szCs w:val="24"/>
        </w:rPr>
        <w:t xml:space="preserve"> 城市管理与综合执法部门应当会同有关部门制定垃圾清扫、收集、运输和处置应急预案，建立垃圾应急处理系统，确保在台风、洪涝等自然灾害或者其他紧急情况下，市容环境卫生工作顺利进行。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在台风、洪涝等自然灾害或者其他紧急情况发生后，责任人应当协助及时清理责任区范围内的垃圾，扶正倒伏的树木。</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jc w:val="center"/>
        <w:textAlignment w:val="auto"/>
        <w:rPr>
          <w:b/>
          <w:bCs/>
          <w:sz w:val="24"/>
          <w:szCs w:val="24"/>
        </w:rPr>
      </w:pPr>
      <w:bookmarkStart w:id="34" w:name="_Toc32239"/>
      <w:bookmarkStart w:id="35" w:name="_Toc22596"/>
      <w:r>
        <w:rPr>
          <w:rFonts w:hint="eastAsia"/>
          <w:b/>
          <w:bCs/>
          <w:sz w:val="24"/>
          <w:szCs w:val="24"/>
        </w:rPr>
        <w:t>第三章 市容管理</w:t>
      </w:r>
      <w:bookmarkEnd w:id="34"/>
      <w:bookmarkEnd w:id="35"/>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36" w:name="_Toc160566940"/>
      <w:bookmarkStart w:id="37" w:name="_Toc16537"/>
      <w:r>
        <w:rPr>
          <w:rFonts w:hint="eastAsia"/>
          <w:b/>
          <w:bCs/>
          <w:sz w:val="24"/>
          <w:szCs w:val="24"/>
        </w:rPr>
        <w:t>第十八条</w:t>
      </w:r>
      <w:r>
        <w:rPr>
          <w:rFonts w:hint="eastAsia"/>
          <w:sz w:val="24"/>
          <w:szCs w:val="24"/>
        </w:rPr>
        <w:t>【城市容貌】</w:t>
      </w:r>
      <w:bookmarkEnd w:id="36"/>
      <w:bookmarkEnd w:id="37"/>
      <w:r>
        <w:rPr>
          <w:rFonts w:hint="eastAsia"/>
          <w:sz w:val="24"/>
          <w:szCs w:val="24"/>
        </w:rPr>
        <w:t xml:space="preserve"> 城市建（构）筑物、道路、园林绿化、公共设施、广告标识、照明、公共场所、城市水域、居住区等的容貌建设与管理，应当符合城市容貌标准。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38" w:name="_Toc160566941"/>
      <w:bookmarkStart w:id="39" w:name="_Toc12318"/>
      <w:r>
        <w:rPr>
          <w:rFonts w:hint="eastAsia"/>
          <w:b/>
          <w:bCs/>
          <w:sz w:val="24"/>
          <w:szCs w:val="24"/>
        </w:rPr>
        <w:t>第十九条</w:t>
      </w:r>
      <w:r>
        <w:rPr>
          <w:rFonts w:hint="eastAsia"/>
          <w:sz w:val="24"/>
          <w:szCs w:val="24"/>
        </w:rPr>
        <w:t>【建（构）筑物容貌】</w:t>
      </w:r>
      <w:bookmarkEnd w:id="38"/>
      <w:bookmarkEnd w:id="39"/>
      <w:r>
        <w:rPr>
          <w:rFonts w:hint="eastAsia"/>
          <w:sz w:val="24"/>
          <w:szCs w:val="24"/>
        </w:rPr>
        <w:t xml:space="preserve"> 现有建（构）筑物应当保持外形完好、整洁，符合街景要求。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新建、扩建、改建的建（构）筑物的造型、装饰等应当与所在区域环境相协调，阳台、护栏、防盗窗（门）、空调外机等设施宜统一规范设置。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主要街道的临街建（构）筑物的阳台和窗外，不得堆放、吊挂有碍市容的物品。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临街建筑物的所有权人或者使用人应当保持建筑物外观整洁，及时清洗外墙污迹、铁锈等。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40" w:name="_Toc160566942"/>
      <w:bookmarkStart w:id="41" w:name="_Toc22005"/>
      <w:r>
        <w:rPr>
          <w:rFonts w:hint="eastAsia"/>
          <w:b/>
          <w:bCs/>
          <w:sz w:val="24"/>
          <w:szCs w:val="24"/>
        </w:rPr>
        <w:t>第二十条</w:t>
      </w:r>
      <w:r>
        <w:rPr>
          <w:rFonts w:hint="eastAsia"/>
          <w:sz w:val="24"/>
          <w:szCs w:val="24"/>
        </w:rPr>
        <w:t>【道路容貌】</w:t>
      </w:r>
      <w:bookmarkEnd w:id="40"/>
      <w:r>
        <w:rPr>
          <w:rFonts w:hint="eastAsia"/>
          <w:sz w:val="24"/>
          <w:szCs w:val="24"/>
        </w:rPr>
        <w:t xml:space="preserve"> </w:t>
      </w:r>
      <w:bookmarkEnd w:id="41"/>
      <w:r>
        <w:rPr>
          <w:rFonts w:hint="eastAsia"/>
          <w:sz w:val="24"/>
          <w:szCs w:val="24"/>
        </w:rPr>
        <w:t>城市道路路面应当保持完好，出现坑凹、碎裂、隆起、溢水、水毁塌方等情况的，道路管理养护单位应当及时修复。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供水、供电、管线等单位因工程建设等需要开挖城市道路的，应当事先征经市、县（市、区）人民政府城市管理与综合执法部门的同意；影响交通安全的，还应当征得市、县（市、区）公安机关交通管理部门的同意。除需要紧急抢修外，未经相关部门同意，不得开挖城市道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经批准开挖城市道路的，应当采取有效措施，减少对行人安全、交通畅通和市容环境的影响。施工单位应当按照计划规定的时间段进行施工，按照规定设置围栏和警示标志，并配置夜间警示灯。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维修或者清疏管道、沟渠等所产生的余泥、污物不得堆放在城市道路等公共场所，不得向城市道路、地下管网、沟渠等排放。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工程施工过程中临时堆放在城市道路上的余泥、污物应当及时清理。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建设施工单位应当在施工许可期内及时</w:t>
      </w:r>
      <w:r>
        <w:rPr>
          <w:rFonts w:hint="eastAsia"/>
          <w:sz w:val="24"/>
          <w:szCs w:val="24"/>
          <w:lang w:eastAsia="zh-CN"/>
        </w:rPr>
        <w:t>休</w:t>
      </w:r>
      <w:r>
        <w:rPr>
          <w:rFonts w:hint="eastAsia"/>
          <w:sz w:val="24"/>
          <w:szCs w:val="24"/>
        </w:rPr>
        <w:t>整完毕，并按照规定通过道路验收。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42" w:name="_Toc160566943"/>
      <w:bookmarkStart w:id="43" w:name="_Toc32104"/>
      <w:r>
        <w:rPr>
          <w:rFonts w:hint="eastAsia"/>
          <w:b/>
          <w:bCs/>
          <w:sz w:val="24"/>
          <w:szCs w:val="24"/>
        </w:rPr>
        <w:t>第二十一条</w:t>
      </w:r>
      <w:r>
        <w:rPr>
          <w:rFonts w:hint="eastAsia"/>
          <w:sz w:val="24"/>
          <w:szCs w:val="24"/>
        </w:rPr>
        <w:t>【井沟盖维护】</w:t>
      </w:r>
      <w:bookmarkEnd w:id="42"/>
      <w:bookmarkEnd w:id="43"/>
      <w:r>
        <w:rPr>
          <w:rFonts w:hint="eastAsia"/>
          <w:sz w:val="24"/>
          <w:szCs w:val="24"/>
        </w:rPr>
        <w:t xml:space="preserve"> 城市道路上的井盖、沟盖应当保持完好、正位。权属单位或者维护管理单位应当定期巡查。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井盖、沟盖出现损坏、移位或者丢失的，权属单位或者维护管理单位在发现或者在接到报告、通知后，应当及时采取设置警示标志、护栏等临时防护措施，并在十二小时内维修、更换、正位或者补齐。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44" w:name="_Toc160566944"/>
      <w:bookmarkStart w:id="45" w:name="_Toc6550"/>
      <w:r>
        <w:rPr>
          <w:rFonts w:hint="eastAsia"/>
          <w:b/>
          <w:bCs/>
          <w:sz w:val="24"/>
          <w:szCs w:val="24"/>
        </w:rPr>
        <w:t>第二十二条</w:t>
      </w:r>
      <w:r>
        <w:rPr>
          <w:rFonts w:hint="eastAsia"/>
          <w:sz w:val="24"/>
          <w:szCs w:val="24"/>
        </w:rPr>
        <w:t>【道路车辆管理】</w:t>
      </w:r>
      <w:bookmarkEnd w:id="44"/>
      <w:bookmarkEnd w:id="45"/>
      <w:bookmarkStart w:id="46" w:name="_Hlk160549164"/>
      <w:r>
        <w:rPr>
          <w:rFonts w:hint="eastAsia"/>
          <w:sz w:val="24"/>
          <w:szCs w:val="24"/>
        </w:rPr>
        <w:t>车辆运输煤炭、垃圾、砂石、土方、灰浆等散装、流体物料，应当采取密闭、覆盖或者其他有效措施，防止沿途泄漏、遗撒和飞扬，并按照规定时间和路线行驶。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运输水产品的车辆，应当采取有效措施，防止沿途滴漏。</w:t>
      </w:r>
    </w:p>
    <w:bookmarkEnd w:id="46"/>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47" w:name="_Toc13609"/>
      <w:r>
        <w:rPr>
          <w:rFonts w:hint="eastAsia"/>
          <w:b/>
          <w:bCs/>
          <w:sz w:val="24"/>
          <w:szCs w:val="24"/>
        </w:rPr>
        <w:t>第二十三条</w:t>
      </w:r>
      <w:r>
        <w:rPr>
          <w:rFonts w:hint="eastAsia"/>
          <w:sz w:val="24"/>
          <w:szCs w:val="24"/>
        </w:rPr>
        <w:t>【道路临时停车管理】</w:t>
      </w:r>
      <w:bookmarkEnd w:id="47"/>
      <w:r>
        <w:rPr>
          <w:rFonts w:hint="eastAsia"/>
          <w:sz w:val="24"/>
          <w:szCs w:val="24"/>
        </w:rPr>
        <w:t>临时停放车辆的单位或个人，应当按照划定的区域分类分别停放，不得乱停乱放。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互联网租赁自行车、电动车等车辆应当在指定地点摆放整齐，并保持车辆干净整洁；互联网租赁自行车、电动车等车辆残缺、破损或因故障不能正常使用，经营者应当及时清理。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48" w:name="_Toc160566946"/>
      <w:bookmarkStart w:id="49" w:name="_Toc23303"/>
      <w:r>
        <w:rPr>
          <w:rFonts w:hint="eastAsia"/>
          <w:b/>
          <w:bCs/>
          <w:sz w:val="24"/>
          <w:szCs w:val="24"/>
        </w:rPr>
        <w:t>第二十四条</w:t>
      </w:r>
      <w:r>
        <w:rPr>
          <w:rFonts w:hint="eastAsia"/>
          <w:sz w:val="24"/>
          <w:szCs w:val="24"/>
        </w:rPr>
        <w:t>【公共场所管理】</w:t>
      </w:r>
      <w:bookmarkEnd w:id="48"/>
      <w:r>
        <w:rPr>
          <w:rFonts w:hint="eastAsia"/>
          <w:sz w:val="24"/>
          <w:szCs w:val="24"/>
        </w:rPr>
        <w:t xml:space="preserve"> </w:t>
      </w:r>
      <w:bookmarkEnd w:id="49"/>
      <w:r>
        <w:rPr>
          <w:rFonts w:hint="eastAsia"/>
          <w:sz w:val="24"/>
          <w:szCs w:val="24"/>
        </w:rPr>
        <w:t>任何单位和个人不得占用城市道路、人行天桥、人行地下通道以及其他公共场所摆摊设点、堆放物料、搭建建（构）筑物或者其他设施。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经批准临时占用道路、广场等公共场所的，应当保持公共场所整洁有序，占用人或者管理单位占用期满后应及时清除垃圾等废弃物，保持路面无油污、油渍。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公共场所设置设施的维护管理和安全责任由产权单位负责，应当定期</w:t>
      </w:r>
      <w:r>
        <w:rPr>
          <w:rFonts w:hint="eastAsia"/>
          <w:sz w:val="24"/>
          <w:szCs w:val="24"/>
          <w:lang w:eastAsia="zh-CN"/>
        </w:rPr>
        <w:t>清洗</w:t>
      </w:r>
      <w:r>
        <w:rPr>
          <w:rFonts w:hint="eastAsia"/>
          <w:sz w:val="24"/>
          <w:szCs w:val="24"/>
        </w:rPr>
        <w:t>翻新，保持外观清洁；有污染、破损、丧失功能的，应当及时清理、修缮、更换或拆除。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50" w:name="_Toc160566947"/>
      <w:bookmarkStart w:id="51" w:name="_Toc25815"/>
      <w:r>
        <w:rPr>
          <w:rFonts w:hint="eastAsia"/>
          <w:b/>
          <w:bCs/>
          <w:sz w:val="24"/>
          <w:szCs w:val="24"/>
        </w:rPr>
        <w:t>第二十五条</w:t>
      </w:r>
      <w:r>
        <w:rPr>
          <w:rFonts w:hint="eastAsia"/>
          <w:sz w:val="24"/>
          <w:szCs w:val="24"/>
        </w:rPr>
        <w:t>【流动摊贩管理】</w:t>
      </w:r>
      <w:bookmarkEnd w:id="50"/>
      <w:bookmarkEnd w:id="51"/>
      <w:r>
        <w:rPr>
          <w:rFonts w:hint="eastAsia"/>
          <w:sz w:val="24"/>
          <w:szCs w:val="24"/>
        </w:rPr>
        <w:t>县（</w:t>
      </w:r>
      <w:bookmarkStart w:id="101" w:name="_GoBack"/>
      <w:bookmarkEnd w:id="101"/>
      <w:r>
        <w:rPr>
          <w:rFonts w:hint="eastAsia"/>
          <w:sz w:val="24"/>
          <w:szCs w:val="24"/>
        </w:rPr>
        <w:t>市、区）城市管理和综合执法部门会同街道办事处或乡镇人民政府可根据方便群众、布局合理、监管有序的原则，在不影响安全、交通、市容、环保等情况下，在城市非主干道两侧划定一定区域作为流动摊贩经营场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流动摊贩经营场所所在的街道办事处、乡镇人民政府具体负责临时疏导区（点）的日常服务管理，指导监督临时疏导区（点）市容和环境卫生责任人配备环卫设施，规范摆卖。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流动商贩应当按照划定的地点、时段等规范经营，并保持环境卫生整洁。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52" w:name="_Toc26011"/>
      <w:r>
        <w:rPr>
          <w:rFonts w:hint="eastAsia"/>
          <w:b/>
          <w:bCs/>
          <w:sz w:val="24"/>
          <w:szCs w:val="24"/>
        </w:rPr>
        <w:t>第二十六条</w:t>
      </w:r>
      <w:r>
        <w:rPr>
          <w:rFonts w:hint="eastAsia"/>
          <w:sz w:val="24"/>
          <w:szCs w:val="24"/>
        </w:rPr>
        <w:t>【临街经营管理】</w:t>
      </w:r>
      <w:bookmarkEnd w:id="52"/>
      <w:r>
        <w:rPr>
          <w:rFonts w:hint="eastAsia"/>
          <w:sz w:val="24"/>
          <w:szCs w:val="24"/>
        </w:rPr>
        <w:t>临街商业、饮食业等行业的经营者不得超出门、窗、外墙进行店外经营、作业或者展示商品。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53" w:name="_Toc5989"/>
      <w:r>
        <w:rPr>
          <w:rFonts w:hint="eastAsia"/>
          <w:b/>
          <w:bCs/>
          <w:sz w:val="24"/>
          <w:szCs w:val="24"/>
        </w:rPr>
        <w:t>第二十七条</w:t>
      </w:r>
      <w:r>
        <w:rPr>
          <w:rFonts w:hint="eastAsia"/>
          <w:sz w:val="24"/>
          <w:szCs w:val="24"/>
        </w:rPr>
        <w:t>【物品吊挂管理】</w:t>
      </w:r>
      <w:bookmarkEnd w:id="53"/>
      <w:r>
        <w:rPr>
          <w:rFonts w:hint="eastAsia"/>
          <w:sz w:val="24"/>
          <w:szCs w:val="24"/>
        </w:rPr>
        <w:t>禁止在城市道路、过街天桥、公园等公共场所的护栏、电线杆、树木、绿篱等处晾晒衣服、吊挂物品。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54" w:name="_Toc31160"/>
      <w:r>
        <w:rPr>
          <w:rFonts w:hint="eastAsia"/>
          <w:b/>
          <w:bCs/>
          <w:sz w:val="24"/>
          <w:szCs w:val="24"/>
        </w:rPr>
        <w:t>第二十八条</w:t>
      </w:r>
      <w:r>
        <w:rPr>
          <w:rFonts w:hint="eastAsia"/>
          <w:sz w:val="24"/>
          <w:szCs w:val="24"/>
        </w:rPr>
        <w:t>【绿地养护】</w:t>
      </w:r>
      <w:bookmarkEnd w:id="54"/>
      <w:r>
        <w:rPr>
          <w:rFonts w:hint="eastAsia"/>
          <w:sz w:val="24"/>
          <w:szCs w:val="24"/>
        </w:rPr>
        <w:t>城市绿地养护管理单位应当保持城市绿地的整洁、美观，并及时组织人员清除绿地内的垃圾杂物。因栽植、养护、修剪树木花草等作业产生的枝叶、渣土，作业单位应当及时清理完毕。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55" w:name="_Toc28630"/>
      <w:bookmarkStart w:id="56" w:name="_Toc29963"/>
      <w:r>
        <w:rPr>
          <w:rFonts w:hint="eastAsia"/>
          <w:b/>
          <w:bCs/>
          <w:sz w:val="24"/>
          <w:szCs w:val="24"/>
        </w:rPr>
        <w:t>第二十九条</w:t>
      </w:r>
      <w:r>
        <w:rPr>
          <w:rFonts w:hint="eastAsia"/>
          <w:sz w:val="24"/>
          <w:szCs w:val="24"/>
        </w:rPr>
        <w:t>【绿地保护】在城市绿地内，禁止下列行为：</w:t>
      </w:r>
      <w:bookmarkEnd w:id="55"/>
      <w:bookmarkEnd w:id="5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（一）堆放、焚烧物料；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（二）攀摘公共树木的枝叶花果，践踏地被，丢弃废弃物；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（三）损坏绿化的商业、娱乐活动；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（四）法律法规规定的其他损坏城市绿化及其设施的行为。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57" w:name="_Toc160566953"/>
      <w:bookmarkStart w:id="58" w:name="_Toc27050"/>
      <w:r>
        <w:rPr>
          <w:rFonts w:hint="eastAsia"/>
          <w:b/>
          <w:bCs/>
          <w:sz w:val="24"/>
          <w:szCs w:val="24"/>
        </w:rPr>
        <w:t>第三十条</w:t>
      </w:r>
      <w:r>
        <w:rPr>
          <w:rFonts w:hint="eastAsia"/>
          <w:sz w:val="24"/>
          <w:szCs w:val="24"/>
        </w:rPr>
        <w:t>【户外广告或招牌设施管理】</w:t>
      </w:r>
      <w:bookmarkEnd w:id="57"/>
      <w:bookmarkEnd w:id="58"/>
      <w:r>
        <w:rPr>
          <w:rFonts w:hint="eastAsia"/>
          <w:sz w:val="24"/>
          <w:szCs w:val="24"/>
        </w:rPr>
        <w:t>市、县（市、区）城市管理和综合执法部门应当会同相关部门，根据总量控制、布局合理的原则编制市户外广告设施设置专项规划和设置指引，报市、县（市、区）人民政府批准后公布实施。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户外招牌设施、户外广告设施应当符合城市容貌标准和户外广告设施技术标准等国家现行有关规定。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设置大型户外广告设施应当经城市管理与综合执法部门批准，经批准的大型户外广告设施应当按照批准文件载明的要求设置。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设置单位或者个人应当对户外广告或者招牌设施进行日常维护保养，加强安全检查；对图案、文字、灯光显示不全或者污浊、腐蚀、陈旧、破损等影响市容市貌及存在安全隐患的，应当及时维修或者更换。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设置带有光源、声音、反光材料的户外广告设施，应当符合市户外广告设施设置指引的要求，控制光源亮度、声音分贝、反光材料反射角度和使用时间。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59" w:name="_Toc3414"/>
      <w:r>
        <w:rPr>
          <w:rFonts w:hint="eastAsia"/>
          <w:b/>
          <w:bCs/>
          <w:sz w:val="24"/>
          <w:szCs w:val="24"/>
        </w:rPr>
        <w:t>第三十一条</w:t>
      </w:r>
      <w:r>
        <w:rPr>
          <w:rFonts w:hint="eastAsia"/>
          <w:sz w:val="24"/>
          <w:szCs w:val="24"/>
        </w:rPr>
        <w:t>【公共设施广告禁止】</w:t>
      </w:r>
      <w:bookmarkEnd w:id="59"/>
      <w:r>
        <w:rPr>
          <w:rFonts w:hint="eastAsia"/>
          <w:sz w:val="24"/>
          <w:szCs w:val="24"/>
        </w:rPr>
        <w:t>禁止在候车亭、候车站牌、电线杆、路灯杆、栏杆、配电箱、门窗、阅报栏、指示标牌、消防等设施和树木，以及过街天桥、地下通道、停车场等建筑物的墙面或地面乱涂乱画、张贴广告或其他有损市容市貌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依法经批准在公共场所设置、悬挂、张贴的宣传品和标语，应当保持清洁整齐、无残缺、无破损和无污迹。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60" w:name="_Toc15822"/>
      <w:r>
        <w:rPr>
          <w:rFonts w:hint="eastAsia"/>
          <w:b/>
          <w:bCs/>
          <w:sz w:val="24"/>
          <w:szCs w:val="24"/>
        </w:rPr>
        <w:t>第三十二条</w:t>
      </w:r>
      <w:r>
        <w:rPr>
          <w:rFonts w:hint="eastAsia"/>
          <w:sz w:val="24"/>
          <w:szCs w:val="24"/>
        </w:rPr>
        <w:t>【城市照明】</w:t>
      </w:r>
      <w:bookmarkEnd w:id="60"/>
      <w:r>
        <w:rPr>
          <w:rFonts w:hint="eastAsia"/>
          <w:sz w:val="24"/>
          <w:szCs w:val="24"/>
        </w:rPr>
        <w:t>城市照明设施应当按照城市规划设置，并与建筑、道路、广场、园林绿化、水域、广告标志等被照明对象及周边环境相协调。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城市照明设施应当符合生态保护、环境保护的要求，保持设施完整、功能良好和外观整洁，保障安全运行和正常使用；出现故障和损坏的，应当及时修复或更换。</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jc w:val="center"/>
        <w:textAlignment w:val="auto"/>
        <w:rPr>
          <w:b/>
          <w:bCs/>
          <w:sz w:val="24"/>
          <w:szCs w:val="24"/>
        </w:rPr>
      </w:pPr>
      <w:bookmarkStart w:id="61" w:name="_Toc13216"/>
      <w:bookmarkStart w:id="62" w:name="_Toc11556"/>
      <w:r>
        <w:rPr>
          <w:rFonts w:hint="eastAsia"/>
          <w:b/>
          <w:bCs/>
          <w:sz w:val="24"/>
          <w:szCs w:val="24"/>
        </w:rPr>
        <w:t>第四章  环境卫生管理</w:t>
      </w:r>
      <w:bookmarkEnd w:id="61"/>
      <w:bookmarkEnd w:id="6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63" w:name="_Toc160566957"/>
      <w:bookmarkStart w:id="64" w:name="_Toc9043"/>
      <w:r>
        <w:rPr>
          <w:rFonts w:hint="eastAsia"/>
          <w:b/>
          <w:bCs/>
          <w:sz w:val="24"/>
          <w:szCs w:val="24"/>
        </w:rPr>
        <w:t>第三十三条</w:t>
      </w:r>
      <w:r>
        <w:rPr>
          <w:rFonts w:hint="eastAsia"/>
          <w:sz w:val="24"/>
          <w:szCs w:val="24"/>
        </w:rPr>
        <w:t xml:space="preserve"> 【卫生设施专项规划】</w:t>
      </w:r>
      <w:bookmarkEnd w:id="63"/>
      <w:bookmarkEnd w:id="64"/>
      <w:r>
        <w:rPr>
          <w:rFonts w:hint="eastAsia"/>
          <w:sz w:val="24"/>
          <w:szCs w:val="24"/>
        </w:rPr>
        <w:t>城市管理与综合执法部门应当会同自然资源、住房城乡建设等主管部门，根据国土空间规划要求，编制城市环境卫生设施专项规划，经市人民政府批准后公布实施。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城市管理与综合执法部门应当根据环境卫生设施专项规划及环境卫生设施设置标准，制定环境卫生设施建设年度计划，并组织实施。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65" w:name="_Toc24796"/>
      <w:r>
        <w:rPr>
          <w:rFonts w:hint="eastAsia"/>
          <w:b/>
          <w:bCs/>
          <w:sz w:val="24"/>
          <w:szCs w:val="24"/>
        </w:rPr>
        <w:t>第三十四条</w:t>
      </w:r>
      <w:r>
        <w:rPr>
          <w:rFonts w:hint="eastAsia"/>
          <w:sz w:val="24"/>
          <w:szCs w:val="24"/>
        </w:rPr>
        <w:t>【环境卫生设施配置】</w:t>
      </w:r>
      <w:bookmarkEnd w:id="65"/>
      <w:r>
        <w:rPr>
          <w:rFonts w:hint="eastAsia"/>
          <w:sz w:val="24"/>
          <w:szCs w:val="24"/>
        </w:rPr>
        <w:t>城市管理与综合执法部门应当在城市道路、广场等公共场所按照国家有关规定设置公共厕所、封闭式垃圾容器等环境卫生设施。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旅游景点、商场、机场、车站、港口以及文化、体育、娱乐、休闲等公共场所的经营管理者，应当按照规划要求配套设置公共厕所、封闭式垃圾容器等环境卫生设施。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公共厕所应当设置明显标志，免费对外开放，并由专人负责保洁。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66" w:name="_Toc16882"/>
      <w:r>
        <w:rPr>
          <w:rFonts w:hint="eastAsia"/>
          <w:b/>
          <w:bCs/>
          <w:sz w:val="24"/>
          <w:szCs w:val="24"/>
        </w:rPr>
        <w:t>第三十五条</w:t>
      </w:r>
      <w:r>
        <w:rPr>
          <w:rFonts w:hint="eastAsia"/>
          <w:sz w:val="24"/>
          <w:szCs w:val="24"/>
        </w:rPr>
        <w:t>【建设单位环境卫生责任】</w:t>
      </w:r>
      <w:bookmarkEnd w:id="66"/>
      <w:r>
        <w:rPr>
          <w:rFonts w:hint="eastAsia"/>
          <w:sz w:val="24"/>
          <w:szCs w:val="24"/>
        </w:rPr>
        <w:t>新区开发、旧区改造以及新建住宅小区时，建设单位应当按照规划要求配套设置公共厕所、垃圾中转站和封闭式垃圾容器等环境卫生设施，所需经费纳入建设工程预算。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配套建设的环境卫生设施应当与主体工程同时规划、同时建设、同时投入使用。经验收合格的环境卫生设施不得改变其使用性质。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67" w:name="_Toc9171"/>
      <w:r>
        <w:rPr>
          <w:rFonts w:hint="eastAsia"/>
          <w:b/>
          <w:bCs/>
          <w:sz w:val="24"/>
          <w:szCs w:val="24"/>
        </w:rPr>
        <w:t>第三十六条</w:t>
      </w:r>
      <w:r>
        <w:rPr>
          <w:rFonts w:hint="eastAsia"/>
          <w:sz w:val="24"/>
          <w:szCs w:val="24"/>
        </w:rPr>
        <w:t>【环境卫生设施维护】</w:t>
      </w:r>
      <w:bookmarkEnd w:id="67"/>
      <w:r>
        <w:rPr>
          <w:rFonts w:hint="eastAsia"/>
          <w:sz w:val="24"/>
          <w:szCs w:val="24"/>
        </w:rPr>
        <w:t xml:space="preserve"> 环境卫生设施的所有者或者管理、使用单位应当保持设施的整洁、完好和正常使用。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任何单位和个人不得擅自占用、损坏环境卫生设施。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68" w:name="_Toc14390"/>
      <w:bookmarkStart w:id="69" w:name="_Toc30040"/>
      <w:r>
        <w:rPr>
          <w:rFonts w:hint="eastAsia"/>
          <w:b/>
          <w:bCs/>
          <w:sz w:val="24"/>
          <w:szCs w:val="24"/>
        </w:rPr>
        <w:t>第三十七条</w:t>
      </w:r>
      <w:r>
        <w:rPr>
          <w:rFonts w:hint="eastAsia"/>
          <w:sz w:val="24"/>
          <w:szCs w:val="24"/>
        </w:rPr>
        <w:t>【禁止行为】 禁止下列影响环境卫生的行为：</w:t>
      </w:r>
      <w:bookmarkEnd w:id="68"/>
      <w:bookmarkEnd w:id="6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（一）随地吐痰、便溺和乱吐、乱扔香口胶渣、瓜果皮核、纸屑、烟头或者其他垃圾。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（二）占用道路、广场从事车辆清洗活动；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（三）在露天场所或者垃圾收集容器内焚烧树叶、枯草、垃圾或者其他废弃物；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（四）乱扔动物尸体；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（五）禁止从车辆上向外抛撒垃圾。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（六）禁止向道路、公共场所、排水检查井、雨水口、河湖水系、排水明渠等地方清扫、倾倒垃圾、污水、食用油、机油等废水废物。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 其他影响城市环境卫生的行为。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70" w:name="_Toc12460"/>
      <w:r>
        <w:rPr>
          <w:rFonts w:hint="eastAsia"/>
          <w:b/>
          <w:bCs/>
          <w:sz w:val="24"/>
          <w:szCs w:val="24"/>
        </w:rPr>
        <w:t>第三十八条</w:t>
      </w:r>
      <w:r>
        <w:rPr>
          <w:rFonts w:hint="eastAsia"/>
          <w:sz w:val="24"/>
          <w:szCs w:val="24"/>
        </w:rPr>
        <w:t>【大件垃圾投放】</w:t>
      </w:r>
      <w:bookmarkEnd w:id="70"/>
      <w:r>
        <w:rPr>
          <w:rFonts w:hint="eastAsia"/>
          <w:sz w:val="24"/>
          <w:szCs w:val="24"/>
        </w:rPr>
        <w:t xml:space="preserve"> 废旧大家电、废旧家具等大件垃圾应当单独运送、投放到指定场所。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单位和个人无法按照规定运送、投放的，可以通过物业服务单位或者社区居民委员会，委托环境卫生作业单位清理运送。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71" w:name="_Toc15193"/>
      <w:r>
        <w:rPr>
          <w:rFonts w:hint="eastAsia"/>
          <w:b/>
          <w:bCs/>
          <w:sz w:val="24"/>
          <w:szCs w:val="24"/>
        </w:rPr>
        <w:t>第三十九条</w:t>
      </w:r>
      <w:r>
        <w:rPr>
          <w:rFonts w:hint="eastAsia"/>
          <w:sz w:val="24"/>
          <w:szCs w:val="24"/>
        </w:rPr>
        <w:t>【餐厨垃圾管理】</w:t>
      </w:r>
      <w:bookmarkEnd w:id="71"/>
      <w:r>
        <w:rPr>
          <w:rFonts w:hint="eastAsia"/>
          <w:sz w:val="24"/>
          <w:szCs w:val="24"/>
        </w:rPr>
        <w:t xml:space="preserve"> 餐厨垃圾产生单位应当按照规定单独收集、存放本单位产生的餐厨垃圾，并交给具备相应资质条件的单位收运处理，不得直接排入公共水域、厕所、市政管道或者混入其他生活垃圾。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餐厨垃圾管理部门应当制定餐厨垃圾产生、收集、运输、处置等过程的联单制度或者信息化监管措施，对餐厨垃圾收集、运输、处置设施运行管理情况进行实时监督和定期检查。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72" w:name="_Toc16469"/>
      <w:r>
        <w:rPr>
          <w:rFonts w:hint="eastAsia"/>
          <w:b/>
          <w:bCs/>
          <w:sz w:val="24"/>
          <w:szCs w:val="24"/>
        </w:rPr>
        <w:t>第四十条</w:t>
      </w:r>
      <w:r>
        <w:rPr>
          <w:rFonts w:hint="eastAsia"/>
          <w:sz w:val="24"/>
          <w:szCs w:val="24"/>
        </w:rPr>
        <w:t>【建筑单位施工规定】</w:t>
      </w:r>
      <w:bookmarkEnd w:id="72"/>
      <w:r>
        <w:rPr>
          <w:rFonts w:hint="eastAsia"/>
          <w:sz w:val="24"/>
          <w:szCs w:val="24"/>
        </w:rPr>
        <w:t xml:space="preserve"> 建筑施工单位在施工时应当遵守下列规定：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（一）施工工地应当设置硬质密闭围挡；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（二）采取覆盖、分段作业、择时施工、洒水抑尘等有效防尘降尘措施；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（三）施工现场进出路口实行硬底化，并对施工现场进出路口及出场车辆进行冲洗和清理，防止出场车辆带泥污染道路；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（四）禁止将泥浆水直接排入城市雨水管道、污水管道、河湖水系、排水明渠、排水暗渠。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73" w:name="_Toc32452"/>
      <w:bookmarkStart w:id="74" w:name="_Toc160566965"/>
      <w:r>
        <w:rPr>
          <w:rFonts w:hint="eastAsia"/>
          <w:b/>
          <w:bCs/>
          <w:sz w:val="24"/>
          <w:szCs w:val="24"/>
        </w:rPr>
        <w:t>第四十一条</w:t>
      </w:r>
      <w:r>
        <w:rPr>
          <w:rFonts w:hint="eastAsia"/>
          <w:sz w:val="24"/>
          <w:szCs w:val="24"/>
        </w:rPr>
        <w:t>【非正常死亡动物无害化处理】</w:t>
      </w:r>
      <w:bookmarkEnd w:id="73"/>
      <w:bookmarkEnd w:id="74"/>
      <w:r>
        <w:rPr>
          <w:rFonts w:hint="eastAsia"/>
          <w:sz w:val="24"/>
          <w:szCs w:val="24"/>
        </w:rPr>
        <w:t xml:space="preserve"> 畜、禽等动物的经营、运输者对病死、毒死或者死因不明的畜、禽等动物，应当交由卫生防疫主管部门统一无害化处理。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75" w:name="_Toc26112"/>
      <w:r>
        <w:rPr>
          <w:rFonts w:hint="eastAsia"/>
          <w:b/>
          <w:bCs/>
          <w:sz w:val="24"/>
          <w:szCs w:val="24"/>
        </w:rPr>
        <w:t>第四十二条</w:t>
      </w:r>
      <w:r>
        <w:rPr>
          <w:rFonts w:hint="eastAsia"/>
          <w:sz w:val="24"/>
          <w:szCs w:val="24"/>
        </w:rPr>
        <w:t>【信息化与安全管理】</w:t>
      </w:r>
      <w:bookmarkEnd w:id="75"/>
      <w:r>
        <w:rPr>
          <w:rFonts w:hint="eastAsia"/>
          <w:sz w:val="24"/>
          <w:szCs w:val="24"/>
        </w:rPr>
        <w:t>城市管理与综合执法部门应当建立环卫作业信息化管理平台，加强环卫作业安全全过程监管。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环卫服务单位应当对环卫作业人员进行安全生产培训，落实环卫作业安全防护措施，配备专门安全员。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76" w:name="_Toc26788"/>
      <w:r>
        <w:rPr>
          <w:rFonts w:hint="eastAsia"/>
          <w:b/>
          <w:bCs/>
          <w:sz w:val="24"/>
          <w:szCs w:val="24"/>
        </w:rPr>
        <w:t>第四十三条</w:t>
      </w:r>
      <w:r>
        <w:rPr>
          <w:rFonts w:hint="eastAsia"/>
          <w:sz w:val="24"/>
          <w:szCs w:val="24"/>
        </w:rPr>
        <w:t>【家畜家禽的饲养】</w:t>
      </w:r>
      <w:bookmarkEnd w:id="76"/>
      <w:r>
        <w:rPr>
          <w:rFonts w:hint="eastAsia"/>
          <w:sz w:val="24"/>
          <w:szCs w:val="24"/>
        </w:rPr>
        <w:t>禁止在划定的禁养区内饲养家畜、家禽；因教学、科研以及其他特殊需要饲养的，应当实行圈养，不得影响环境卫生。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禁止饲养家畜、家禽的范围由县（市、区）人民政府或经济功能区管理委员会划定并公布。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77" w:name="_Toc6106"/>
      <w:r>
        <w:rPr>
          <w:rFonts w:hint="eastAsia"/>
          <w:b/>
          <w:bCs/>
          <w:sz w:val="24"/>
          <w:szCs w:val="24"/>
        </w:rPr>
        <w:t>第四十四条</w:t>
      </w:r>
      <w:r>
        <w:rPr>
          <w:rFonts w:hint="eastAsia"/>
          <w:sz w:val="24"/>
          <w:szCs w:val="24"/>
        </w:rPr>
        <w:t>【宠物饲养】</w:t>
      </w:r>
      <w:bookmarkEnd w:id="77"/>
      <w:r>
        <w:rPr>
          <w:rFonts w:hint="eastAsia"/>
          <w:sz w:val="24"/>
          <w:szCs w:val="24"/>
        </w:rPr>
        <w:t xml:space="preserve"> 饲养宠物不得影响公共场所环境卫生，宠物在公共场所的排泄物，宠物的所有者或者管理者应当即时清理。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78" w:name="_Toc1093"/>
      <w:r>
        <w:rPr>
          <w:rFonts w:hint="eastAsia"/>
          <w:b/>
          <w:bCs/>
          <w:sz w:val="24"/>
          <w:szCs w:val="24"/>
        </w:rPr>
        <w:t>第四十五条</w:t>
      </w:r>
      <w:r>
        <w:rPr>
          <w:rFonts w:hint="eastAsia"/>
          <w:sz w:val="24"/>
          <w:szCs w:val="24"/>
        </w:rPr>
        <w:t>【废品收购场地管理】</w:t>
      </w:r>
      <w:bookmarkEnd w:id="78"/>
      <w:r>
        <w:rPr>
          <w:rFonts w:hint="eastAsia"/>
          <w:sz w:val="24"/>
          <w:szCs w:val="24"/>
        </w:rPr>
        <w:t xml:space="preserve"> 废品收购单位或者个人应当保持收购场所干净整洁，并采取围挡、遮盖等措施，防止废品散落影响周围环境。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79" w:name="_Toc12942"/>
      <w:r>
        <w:rPr>
          <w:rFonts w:hint="eastAsia"/>
          <w:b/>
          <w:bCs/>
          <w:sz w:val="24"/>
          <w:szCs w:val="24"/>
        </w:rPr>
        <w:t>第四十六条</w:t>
      </w:r>
      <w:r>
        <w:rPr>
          <w:rFonts w:hint="eastAsia"/>
          <w:sz w:val="24"/>
          <w:szCs w:val="24"/>
        </w:rPr>
        <w:t>【集贸市场卫生管理】</w:t>
      </w:r>
      <w:bookmarkEnd w:id="79"/>
      <w:r>
        <w:rPr>
          <w:rFonts w:hint="eastAsia"/>
          <w:sz w:val="24"/>
          <w:szCs w:val="24"/>
        </w:rPr>
        <w:t>集贸市场的开办者、经营管理者应当建立健全环境卫生制度，保持经营场所干净、整洁、卫生，场内无乱扔垃圾，无积存的污渍污水，无鼠蝇蚊蟑等病媒生物孳生地，无乱堆放杂物。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80" w:name="_Toc26629"/>
      <w:r>
        <w:rPr>
          <w:rFonts w:hint="eastAsia"/>
          <w:b/>
          <w:bCs/>
          <w:sz w:val="24"/>
          <w:szCs w:val="24"/>
        </w:rPr>
        <w:t>第四十七条</w:t>
      </w:r>
      <w:r>
        <w:rPr>
          <w:rFonts w:hint="eastAsia"/>
          <w:sz w:val="24"/>
          <w:szCs w:val="24"/>
        </w:rPr>
        <w:t>【车辆清洗、修理等主体卫生责任】</w:t>
      </w:r>
      <w:bookmarkEnd w:id="80"/>
      <w:r>
        <w:rPr>
          <w:rFonts w:hint="eastAsia"/>
          <w:sz w:val="24"/>
          <w:szCs w:val="24"/>
        </w:rPr>
        <w:t xml:space="preserve"> 从事车辆清洗、修理和水产品经营、农副产品批发交易等易对环境卫生产生影响的经营单位,应当按照有关规定采取措施防止污水外流和垃圾向外散落,保持经营场所及周边环境卫生整洁。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81" w:name="_Toc30170"/>
      <w:r>
        <w:rPr>
          <w:rFonts w:hint="eastAsia"/>
          <w:b/>
          <w:bCs/>
          <w:sz w:val="24"/>
          <w:szCs w:val="24"/>
        </w:rPr>
        <w:t>第四十八条</w:t>
      </w:r>
      <w:r>
        <w:rPr>
          <w:rFonts w:hint="eastAsia"/>
          <w:sz w:val="24"/>
          <w:szCs w:val="24"/>
        </w:rPr>
        <w:t xml:space="preserve">【大型活动卫生管理】 </w:t>
      </w:r>
      <w:bookmarkEnd w:id="81"/>
      <w:r>
        <w:rPr>
          <w:rFonts w:hint="eastAsia"/>
          <w:sz w:val="24"/>
          <w:szCs w:val="24"/>
        </w:rPr>
        <w:t>举办庆典、文化、体育等活动，举办单位应当保持活动场所</w:t>
      </w:r>
      <w:r>
        <w:rPr>
          <w:rFonts w:hint="eastAsia"/>
          <w:sz w:val="24"/>
          <w:szCs w:val="24"/>
          <w:lang w:eastAsia="zh-CN"/>
        </w:rPr>
        <w:t>（</w:t>
      </w:r>
      <w:r>
        <w:rPr>
          <w:rFonts w:hint="eastAsia"/>
          <w:sz w:val="24"/>
          <w:szCs w:val="24"/>
          <w:lang w:val="en-US" w:eastAsia="zh-CN"/>
        </w:rPr>
        <w:t>场地）</w:t>
      </w:r>
      <w:r>
        <w:rPr>
          <w:rFonts w:hint="eastAsia"/>
          <w:sz w:val="24"/>
          <w:szCs w:val="24"/>
        </w:rPr>
        <w:t>及周围环境卫生整洁，及时清除临时设置的设施和产生的废弃物。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82" w:name="_Toc13343"/>
      <w:r>
        <w:rPr>
          <w:rFonts w:hint="eastAsia"/>
          <w:b/>
          <w:bCs/>
          <w:sz w:val="24"/>
          <w:szCs w:val="24"/>
        </w:rPr>
        <w:t>第四十九条</w:t>
      </w:r>
      <w:r>
        <w:rPr>
          <w:rFonts w:hint="eastAsia"/>
          <w:sz w:val="24"/>
          <w:szCs w:val="24"/>
        </w:rPr>
        <w:t>【河道、水库卫生管理】</w:t>
      </w:r>
      <w:bookmarkEnd w:id="82"/>
      <w:r>
        <w:rPr>
          <w:rFonts w:hint="eastAsia"/>
          <w:sz w:val="24"/>
          <w:szCs w:val="24"/>
        </w:rPr>
        <w:t xml:space="preserve"> 河道、水库管养单位应当确保水面清洁，及时清除垃圾、粪便、油污、动物尸体等漂浮废物；确保岸坡陆域整洁，无破损，无堆放垃圾，无违法搭建和堆积物品。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83" w:name="_Toc10935"/>
      <w:r>
        <w:rPr>
          <w:rFonts w:hint="eastAsia"/>
          <w:b/>
          <w:bCs/>
          <w:sz w:val="24"/>
          <w:szCs w:val="24"/>
        </w:rPr>
        <w:t>第五十条</w:t>
      </w:r>
      <w:r>
        <w:rPr>
          <w:rFonts w:hint="eastAsia"/>
          <w:sz w:val="24"/>
          <w:szCs w:val="24"/>
        </w:rPr>
        <w:t>【海洋卫生管理】</w:t>
      </w:r>
      <w:bookmarkEnd w:id="83"/>
      <w:r>
        <w:rPr>
          <w:rFonts w:hint="eastAsia"/>
          <w:sz w:val="24"/>
          <w:szCs w:val="24"/>
        </w:rPr>
        <w:t>在海上从事渔业生产活动的单位和个人应当为相关渔船或者海上浮动设施配备密封性垃圾存储容器，不得将产生的垃圾在海上任意弃置。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船舶停靠港口码头，其废弃物由沿岸码头的管理单位负责收集。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船舶运载或者装卸散体、流（液）体物料及废弃物，应当采取措施防止漏撒。</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84" w:name="_Toc14500"/>
      <w:r>
        <w:rPr>
          <w:rFonts w:hint="eastAsia"/>
          <w:b/>
          <w:bCs/>
          <w:sz w:val="24"/>
          <w:szCs w:val="24"/>
        </w:rPr>
        <w:t>第五十一条</w:t>
      </w:r>
      <w:r>
        <w:rPr>
          <w:rFonts w:hint="eastAsia"/>
          <w:sz w:val="24"/>
          <w:szCs w:val="24"/>
        </w:rPr>
        <w:t>【粪便处理】</w:t>
      </w:r>
      <w:bookmarkEnd w:id="84"/>
      <w:r>
        <w:rPr>
          <w:rFonts w:hint="eastAsia"/>
          <w:sz w:val="24"/>
          <w:szCs w:val="24"/>
        </w:rPr>
        <w:t>厕所粪便应当排入化粪池，再进入城区污水系统。未接入化粪池、污水处理系统的粪便，应当倾倒在指定场所的容器内。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化粪池应当定期维护、清掏，粪便应当密闭运送到指定地方处理，不得向下水道和各类水体等地方倾倒。化粪池堵塞、粪便外溢时，管理者应当及时疏通、清除。</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jc w:val="center"/>
        <w:textAlignment w:val="auto"/>
        <w:rPr>
          <w:b/>
          <w:bCs/>
          <w:sz w:val="24"/>
          <w:szCs w:val="24"/>
        </w:rPr>
      </w:pPr>
      <w:bookmarkStart w:id="85" w:name="_Toc26605"/>
      <w:bookmarkStart w:id="86" w:name="_Toc15421"/>
      <w:r>
        <w:rPr>
          <w:rFonts w:hint="eastAsia"/>
          <w:b/>
          <w:bCs/>
          <w:sz w:val="24"/>
          <w:szCs w:val="24"/>
        </w:rPr>
        <w:t>第五章  法律责任</w:t>
      </w:r>
      <w:bookmarkEnd w:id="85"/>
      <w:bookmarkEnd w:id="86"/>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87" w:name="_Toc160566977"/>
      <w:bookmarkStart w:id="88" w:name="_Toc1109"/>
      <w:r>
        <w:rPr>
          <w:rFonts w:hint="eastAsia"/>
          <w:b/>
          <w:bCs/>
          <w:sz w:val="24"/>
          <w:szCs w:val="24"/>
        </w:rPr>
        <w:t>第五十二条</w:t>
      </w:r>
      <w:r>
        <w:rPr>
          <w:rFonts w:hint="eastAsia"/>
          <w:sz w:val="24"/>
          <w:szCs w:val="24"/>
        </w:rPr>
        <w:t>【处罚与教育相结合原则】</w:t>
      </w:r>
      <w:bookmarkEnd w:id="87"/>
      <w:bookmarkEnd w:id="88"/>
      <w:r>
        <w:rPr>
          <w:rFonts w:hint="eastAsia"/>
          <w:sz w:val="24"/>
          <w:szCs w:val="24"/>
        </w:rPr>
        <w:t>实施市容和环境卫生行政处罚的行政执法部门应当坚持处罚与教育相结合的原则。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对情节较轻且经现场纠正已消除危害后果的，不予处罚，教育公民、法人或者其他组织自觉守法。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89" w:name="_Toc20482"/>
      <w:bookmarkStart w:id="90" w:name="_Toc160566978"/>
      <w:r>
        <w:rPr>
          <w:rFonts w:hint="eastAsia"/>
          <w:b/>
          <w:bCs/>
          <w:sz w:val="24"/>
          <w:szCs w:val="24"/>
        </w:rPr>
        <w:t>第五十三条</w:t>
      </w:r>
      <w:r>
        <w:rPr>
          <w:rFonts w:hint="eastAsia"/>
          <w:sz w:val="24"/>
          <w:szCs w:val="24"/>
        </w:rPr>
        <w:t>【违反门前三包法律责任】</w:t>
      </w:r>
      <w:bookmarkEnd w:id="89"/>
      <w:bookmarkEnd w:id="90"/>
      <w:r>
        <w:rPr>
          <w:rFonts w:hint="eastAsia"/>
          <w:sz w:val="24"/>
          <w:szCs w:val="24"/>
        </w:rPr>
        <w:t xml:space="preserve"> 违反第十三条规定，“门前三包”责任主体不履行“门前三包”责任的，由街道办事处、镇人民政府予以通报批评，并责令改正，逾期不改正的，对个人处以一百元以上一千元以下罚款，对单位处以两千元以上一万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阻挠、妨碍“门前三包”责任主体</w:t>
      </w:r>
      <w:r>
        <w:rPr>
          <w:rFonts w:hint="eastAsia"/>
          <w:sz w:val="24"/>
          <w:szCs w:val="24"/>
          <w:lang w:val="en-US" w:eastAsia="zh-CN"/>
        </w:rPr>
        <w:t>或者</w:t>
      </w:r>
      <w:r>
        <w:rPr>
          <w:rFonts w:hint="eastAsia"/>
          <w:sz w:val="24"/>
          <w:szCs w:val="24"/>
        </w:rPr>
        <w:t>行政执法人员执行公务的，由公安机关依照《中华人民共和国治安管理处罚法》的有关规定予以处罚；构成犯罪的，依法追究刑事责任。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91" w:name="_Toc27457"/>
      <w:bookmarkStart w:id="92" w:name="_Toc160566979"/>
      <w:r>
        <w:rPr>
          <w:rFonts w:hint="eastAsia"/>
          <w:b/>
          <w:bCs/>
          <w:sz w:val="24"/>
          <w:szCs w:val="24"/>
        </w:rPr>
        <w:t>第五十四条</w:t>
      </w:r>
      <w:r>
        <w:rPr>
          <w:rFonts w:hint="eastAsia"/>
          <w:sz w:val="24"/>
          <w:szCs w:val="24"/>
        </w:rPr>
        <w:t>【违反市容管理法律责任】</w:t>
      </w:r>
      <w:bookmarkEnd w:id="91"/>
      <w:bookmarkEnd w:id="92"/>
      <w:r>
        <w:rPr>
          <w:rFonts w:hint="eastAsia"/>
          <w:sz w:val="24"/>
          <w:szCs w:val="24"/>
        </w:rPr>
        <w:t>违反市容管理的行为，按照下列规定予以处罚：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（一）违反本条例第十九条第三款规定的，责令改正，限期清理、拆除有碍市容的物品，并可处五十元以上五百元以下罚款。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违反本条例第二十条第二款规定，可处二万元以下罚款，并责令限期恢复原状。违反第三款、第四款、第五款规定的，责令限期改正，并可处一万元以下罚款。违反第六款规定的，限期整改，并处以二万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（三）违反本条例第二十二条规定，未按规定对运输车辆采取有效措施，责令改正，拒不改正的，由交通运输主管部门处以一千元以上三千元以下罚款；造成路面污染、损坏的，</w:t>
      </w:r>
      <w:r>
        <w:rPr>
          <w:rFonts w:hint="eastAsia"/>
          <w:sz w:val="24"/>
          <w:szCs w:val="24"/>
          <w:lang w:val="en-US" w:eastAsia="zh-CN"/>
        </w:rPr>
        <w:t>由市容与环境卫生管理部门对</w:t>
      </w:r>
      <w:r>
        <w:rPr>
          <w:rFonts w:hint="eastAsia"/>
          <w:sz w:val="24"/>
          <w:szCs w:val="24"/>
        </w:rPr>
        <w:t>车辆所有人或者归属单位</w:t>
      </w:r>
      <w:r>
        <w:rPr>
          <w:rFonts w:hint="eastAsia"/>
          <w:sz w:val="24"/>
          <w:szCs w:val="24"/>
          <w:lang w:val="en-US" w:eastAsia="zh-CN"/>
        </w:rPr>
        <w:t>处以二千元以上两万元以下罚款</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（四）违反本条例第二十三条第二款规定，责令限期改正，对个人处于五十元以上两百元以下罚款；对单位处于一千元以上一万元以下罚款。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违反本条例第二十四条第一款规定，在公共场所摆摊设点的，责令改正；拒不改正的，处二十元以上二百元以下罚款。擅自占用城市道路、人行天桥、人行地下通道以及其他公共场所堆放物料、搭建建（构）筑物或者其他设施的，责令停止违法行为，限期清理、拆除或者采取补救措施，并可处五百元以上五千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违反第二十四条第二款规定，使用结束后没有及时清除产生的垃圾等废弃物及清除油污油渍的，责令改正；拒不改正的，处二百元以上二千元以下罚款。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（六）违反第二十五条规定，在非划定区域之外进行流动摊贩经营的行为，依据第五十四条第（五）项相关规定进行处罚。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（七）违反第二十六条规定，责令改正；拒不改正的，处二百元以上二千元以下罚款。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（八）违反第二十七条规定，责令改正；拒不改正的，处一百元以上五百元以下罚款。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九）违反第二十九条规定，责令停止侵害、恢复原状。违反第一项规定的，处五百元以上一千元以下罚款；违反第二项规定的，处一百元以上五百元以下罚款；违反第三项规定的，对组织者处二千元以上五千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（十）违反第三十条规定，对图案、文字、灯光显示不全或者污浊、腐蚀、陈旧、破损的户外广告没有及时维修或者更换的，责令限期改正；逾期未改正的，处五千元以上三万元以下罚款。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未经批准</w:t>
      </w:r>
      <w:r>
        <w:rPr>
          <w:rFonts w:hint="eastAsia"/>
          <w:sz w:val="24"/>
          <w:szCs w:val="24"/>
          <w:lang w:val="en-US" w:eastAsia="zh-CN"/>
        </w:rPr>
        <w:t>或者未按照批准的具体要求和标准</w:t>
      </w:r>
      <w:r>
        <w:rPr>
          <w:rFonts w:hint="eastAsia"/>
          <w:sz w:val="24"/>
          <w:szCs w:val="24"/>
        </w:rPr>
        <w:t>设置大型户外广告设施的，责令限期拆除；逾期未拆除的，处一万元以上十万元以下罚款；情节严重的，并处没收户外广告设施。大型户外广告设施设置人应当自许可之日起六个月内按照规定设置完毕；逾期未设置完毕的，许可自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（十一）违反本条例第三十一条第一款规定的，责令限期纠正违法行为、采取补救措施，并可处五十元以上五百元以下罚款。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93" w:name="_Toc15331"/>
      <w:r>
        <w:rPr>
          <w:rFonts w:hint="eastAsia"/>
          <w:b/>
          <w:bCs/>
          <w:sz w:val="24"/>
          <w:szCs w:val="24"/>
        </w:rPr>
        <w:t>第五十五条</w:t>
      </w:r>
      <w:r>
        <w:rPr>
          <w:rFonts w:hint="eastAsia"/>
          <w:sz w:val="24"/>
          <w:szCs w:val="24"/>
        </w:rPr>
        <w:t>【违反环境卫生管理法律责任】</w:t>
      </w:r>
      <w:bookmarkEnd w:id="93"/>
      <w:r>
        <w:rPr>
          <w:rFonts w:hint="eastAsia"/>
          <w:sz w:val="24"/>
          <w:szCs w:val="24"/>
        </w:rPr>
        <w:t>违反环境卫生管理的行为，按照下列规定予以处罚：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（一）违反本条例第三十四条的，责令改正，对个人处五十元以上二百元以下罚款，对单位处于五百元以上三千元以下罚款。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（二）违反本条例第三十六条第二款规定，损坏环境卫生设施的，责令恢复原状，并可处重建价二倍以上十倍以下罚款，罚款数额最高不得超过三万元。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违反第三十七条规定的，责令限期纠正违法行为，采取补救措施。其中，违反第一项至第三项规定的，并可处二十元以上二百元以下罚款；违反第四项规定的，并可处每头（只）二十元以上二百元以下罚款；违反第五、六项规定的，并可处二百元以上二千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违反本条例第三十九条第一款规定，未将餐厨垃圾交给有经营许可证的单位收运处理，或者将餐厨垃圾直接排入公共水域、厕所、市政管道、混入其他生活垃圾的，责令限期改正，并可处五千元以上五万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（五）违反本条例第四十条第一项、第二项规定的，责令改正，处一万元以上十万元以下罚款；拒不改正的，责令停工整治。违反第三项、第四项规定的，责令限期改正，并处二千元以上五千元以下罚款。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（六）违反本条例第四十一条规定的，按照畜类每头五百元、禽类每只一百元处以罚款。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（七）违反本条例第四十三条规定，在城区饲养家禽家畜影响周围环境卫生的，责令其限期处理</w:t>
      </w:r>
      <w:r>
        <w:rPr>
          <w:rFonts w:hint="eastAsia"/>
          <w:sz w:val="24"/>
          <w:szCs w:val="24"/>
          <w:lang w:val="en-US" w:eastAsia="zh-CN"/>
        </w:rPr>
        <w:t>或者予以没收</w:t>
      </w:r>
      <w:r>
        <w:rPr>
          <w:rFonts w:hint="eastAsia"/>
          <w:sz w:val="24"/>
          <w:szCs w:val="24"/>
        </w:rPr>
        <w:t>；并可以按禽类每只处五十元罚款，畜类每头处二百元罚款。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（八）违反本条例第四十四条，饲养宠物影响环境卫生，责令改正；拒不改正的，处二百元以上一千元以下罚款。违反第二款规定的，责令清除，对携带者按宠物每只处二百元以上五百元以下罚款。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（九）违反本条例第四十五条规定，没有采取围挡、遮盖等措施，影响市容环境的，责令限期改正，并可处五百元以上二千元以下罚款。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违反本条例第四十六条规定，场内乱扔垃圾、积存的污渍污水严重、有鼠蝇蚊蟑等病媒生物孳生地、乱堆放杂物，影响环境卫生整洁的，责令改正；拒不改正的，对开办者、经营管理者处一千元以上五千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（十一）违反本条例第四十七条规定的，责令限期改正；逾期未改正的，处一千元以上五千元以下罚款。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（十二）违反本条例第四十八条规定的，责令限期改正</w:t>
      </w:r>
      <w:r>
        <w:rPr>
          <w:rFonts w:hint="eastAsia"/>
          <w:sz w:val="24"/>
          <w:szCs w:val="24"/>
          <w:lang w:eastAsia="zh-CN"/>
        </w:rPr>
        <w:t>；</w:t>
      </w:r>
      <w:r>
        <w:rPr>
          <w:rFonts w:hint="eastAsia"/>
          <w:sz w:val="24"/>
          <w:szCs w:val="24"/>
        </w:rPr>
        <w:t>逾期未改正的，处以五千元以上五万元以下罚款。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（十三）违反本条例第五十条规定的，责令限期改正；逾期不改正的，处以一千元以上一万元以下罚款。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四）违反本条例第五十一条规定，未将厕所粪便排入化粪池直接进入城区污水系统，或者未倾倒在指定场所容器内的；未将清掏的粪便运至指定地点处置，或者未及时疏通、清除的，责令限期改正，并可处五百元以上二千元以下罚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94" w:name="_Toc19278"/>
      <w:r>
        <w:rPr>
          <w:rFonts w:hint="eastAsia"/>
          <w:b/>
          <w:bCs/>
          <w:sz w:val="24"/>
          <w:szCs w:val="24"/>
        </w:rPr>
        <w:t>第五十六条</w:t>
      </w:r>
      <w:r>
        <w:rPr>
          <w:rFonts w:hint="eastAsia"/>
          <w:sz w:val="24"/>
          <w:szCs w:val="24"/>
        </w:rPr>
        <w:t>【执法主体责任】</w:t>
      </w:r>
      <w:bookmarkEnd w:id="94"/>
      <w:r>
        <w:rPr>
          <w:rFonts w:hint="eastAsia"/>
          <w:sz w:val="24"/>
          <w:szCs w:val="24"/>
        </w:rPr>
        <w:t>城市管理与综合执法部门、其他有关职能部门和有关机构及其工作人员，有下列情形之一的，由所在单位或者上级主管部门责令改正；情节严重的，对直接负责的主管人员和其他直接责任人员依法给予处分：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（一）包庇、纵容违法行为人，对依法应当予以制止或者处罚的违法行为不予制止、处罚的；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（二）对依法应当处理的举报、投诉不及时处理的；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（三）对应当移送有关部门处理的案件不及时移送的；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（四）不按照法律、法规相关规定实施行政许可、监督检查、行政处罚、行政强制的；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bookmarkStart w:id="95" w:name="_Toc8136"/>
      <w:bookmarkStart w:id="96" w:name="_Toc30230"/>
      <w:r>
        <w:rPr>
          <w:rFonts w:hint="eastAsia"/>
          <w:sz w:val="24"/>
          <w:szCs w:val="24"/>
        </w:rPr>
        <w:t>（五）法律、法规规定的其他违法行为。</w:t>
      </w:r>
      <w:bookmarkEnd w:id="95"/>
      <w:bookmarkEnd w:id="96"/>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jc w:val="center"/>
        <w:textAlignment w:val="auto"/>
        <w:rPr>
          <w:sz w:val="24"/>
          <w:szCs w:val="24"/>
        </w:rPr>
      </w:pPr>
      <w:bookmarkStart w:id="97" w:name="_Toc17946"/>
      <w:bookmarkStart w:id="98" w:name="_Toc17630"/>
      <w:r>
        <w:rPr>
          <w:rFonts w:hint="eastAsia"/>
          <w:b/>
          <w:bCs/>
          <w:sz w:val="24"/>
          <w:szCs w:val="24"/>
        </w:rPr>
        <w:t>第六章  附则</w:t>
      </w:r>
      <w:bookmarkEnd w:id="97"/>
      <w:bookmarkEnd w:id="98"/>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bookmarkStart w:id="99" w:name="_Toc9233"/>
      <w:bookmarkStart w:id="100" w:name="_Toc11194"/>
      <w:r>
        <w:rPr>
          <w:rFonts w:hint="eastAsia"/>
          <w:b/>
          <w:bCs/>
          <w:sz w:val="24"/>
          <w:szCs w:val="24"/>
        </w:rPr>
        <w:t>第五十</w:t>
      </w:r>
      <w:r>
        <w:rPr>
          <w:rFonts w:hint="eastAsia"/>
          <w:b/>
          <w:bCs/>
          <w:sz w:val="24"/>
          <w:szCs w:val="24"/>
          <w:lang w:val="en-US" w:eastAsia="zh-CN"/>
        </w:rPr>
        <w:t>七</w:t>
      </w:r>
      <w:r>
        <w:rPr>
          <w:rFonts w:hint="eastAsia"/>
          <w:b/>
          <w:bCs/>
          <w:sz w:val="24"/>
          <w:szCs w:val="24"/>
        </w:rPr>
        <w:t>条</w:t>
      </w:r>
      <w:r>
        <w:rPr>
          <w:rFonts w:hint="eastAsia"/>
          <w:sz w:val="24"/>
          <w:szCs w:val="24"/>
          <w:lang w:eastAsia="zh-CN"/>
        </w:rPr>
        <w:t>【</w:t>
      </w:r>
      <w:r>
        <w:rPr>
          <w:rFonts w:hint="eastAsia"/>
          <w:sz w:val="24"/>
          <w:szCs w:val="24"/>
          <w:lang w:val="en-US" w:eastAsia="zh-CN"/>
        </w:rPr>
        <w:t>生效时间</w:t>
      </w:r>
      <w:r>
        <w:rPr>
          <w:rFonts w:hint="eastAsia"/>
          <w:sz w:val="24"/>
          <w:szCs w:val="24"/>
          <w:lang w:eastAsia="zh-CN"/>
        </w:rPr>
        <w:t>】</w:t>
      </w:r>
      <w:r>
        <w:rPr>
          <w:rFonts w:hint="eastAsia"/>
          <w:sz w:val="24"/>
          <w:szCs w:val="24"/>
        </w:rPr>
        <w:t>条例自 年 月 日起施行</w:t>
      </w:r>
      <w:bookmarkEnd w:id="99"/>
      <w:bookmarkEnd w:id="100"/>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hdrShapeDefaults>
    <o:shapelayout v:ext="edit">
      <o:idmap v:ext="edit" data="1"/>
    </o:shapelayout>
  </w:hdrShapeDefaults>
  <w:compat>
    <w:useFELayout/>
    <w:compatSetting w:name="compatibilityMode" w:uri="http://schemas.microsoft.com/office/word" w:val="12"/>
  </w:compat>
  <w:docVars>
    <w:docVar w:name="commondata" w:val="eyJoZGlkIjoiMGVkMjA1Nzk3NWNkMTJiNjI1M2ViYWRkMTg4Mjg4OTcifQ=="/>
  </w:docVars>
  <w:rsids>
    <w:rsidRoot w:val="00CC0D41"/>
    <w:rsid w:val="00030176"/>
    <w:rsid w:val="00094A19"/>
    <w:rsid w:val="000E5E7C"/>
    <w:rsid w:val="001847B0"/>
    <w:rsid w:val="001941B6"/>
    <w:rsid w:val="002D228F"/>
    <w:rsid w:val="005543D3"/>
    <w:rsid w:val="0061009C"/>
    <w:rsid w:val="00632D4C"/>
    <w:rsid w:val="00672051"/>
    <w:rsid w:val="006C3A9D"/>
    <w:rsid w:val="006C6E37"/>
    <w:rsid w:val="008113BD"/>
    <w:rsid w:val="00866824"/>
    <w:rsid w:val="008F7636"/>
    <w:rsid w:val="009E19EC"/>
    <w:rsid w:val="00B630C1"/>
    <w:rsid w:val="00B73905"/>
    <w:rsid w:val="00C54B1E"/>
    <w:rsid w:val="00CC0D41"/>
    <w:rsid w:val="00D178D8"/>
    <w:rsid w:val="00D240ED"/>
    <w:rsid w:val="00DB635A"/>
    <w:rsid w:val="00E52914"/>
    <w:rsid w:val="00E90833"/>
    <w:rsid w:val="00F064D5"/>
    <w:rsid w:val="03100052"/>
    <w:rsid w:val="03247659"/>
    <w:rsid w:val="046046C1"/>
    <w:rsid w:val="07043A2A"/>
    <w:rsid w:val="07481B68"/>
    <w:rsid w:val="080F6B2A"/>
    <w:rsid w:val="08123F24"/>
    <w:rsid w:val="08DF64FD"/>
    <w:rsid w:val="096E7880"/>
    <w:rsid w:val="09F2225F"/>
    <w:rsid w:val="0ADF27E4"/>
    <w:rsid w:val="0AE61DC4"/>
    <w:rsid w:val="0C5D60B6"/>
    <w:rsid w:val="0C8D3960"/>
    <w:rsid w:val="0D817B82"/>
    <w:rsid w:val="0E303356"/>
    <w:rsid w:val="0E8B6B04"/>
    <w:rsid w:val="0EEC3721"/>
    <w:rsid w:val="0F1669F0"/>
    <w:rsid w:val="10392996"/>
    <w:rsid w:val="105A290D"/>
    <w:rsid w:val="11672A5E"/>
    <w:rsid w:val="118E286E"/>
    <w:rsid w:val="1269603A"/>
    <w:rsid w:val="130A686C"/>
    <w:rsid w:val="133F2C18"/>
    <w:rsid w:val="141C6857"/>
    <w:rsid w:val="1471120A"/>
    <w:rsid w:val="14D46661"/>
    <w:rsid w:val="158346B4"/>
    <w:rsid w:val="161E1612"/>
    <w:rsid w:val="190855FC"/>
    <w:rsid w:val="19C07C84"/>
    <w:rsid w:val="1BF754B3"/>
    <w:rsid w:val="1DC67833"/>
    <w:rsid w:val="1E357A6D"/>
    <w:rsid w:val="1E8A6AB3"/>
    <w:rsid w:val="1FB5497B"/>
    <w:rsid w:val="20476A09"/>
    <w:rsid w:val="220646A2"/>
    <w:rsid w:val="22CA56D0"/>
    <w:rsid w:val="230C7A96"/>
    <w:rsid w:val="239520A5"/>
    <w:rsid w:val="23CB16FF"/>
    <w:rsid w:val="24D26ABE"/>
    <w:rsid w:val="24F56782"/>
    <w:rsid w:val="25E1345C"/>
    <w:rsid w:val="26D60AE7"/>
    <w:rsid w:val="28164F13"/>
    <w:rsid w:val="286D547B"/>
    <w:rsid w:val="2B6366C1"/>
    <w:rsid w:val="2C210A56"/>
    <w:rsid w:val="2D3E2F42"/>
    <w:rsid w:val="2F7B222C"/>
    <w:rsid w:val="30CE282F"/>
    <w:rsid w:val="31E21930"/>
    <w:rsid w:val="322A1CE7"/>
    <w:rsid w:val="328E2276"/>
    <w:rsid w:val="33E53BCB"/>
    <w:rsid w:val="361545C7"/>
    <w:rsid w:val="36203B2D"/>
    <w:rsid w:val="373A29CC"/>
    <w:rsid w:val="39E3559D"/>
    <w:rsid w:val="3A7F1818"/>
    <w:rsid w:val="3B057795"/>
    <w:rsid w:val="3C145EE2"/>
    <w:rsid w:val="3D67113C"/>
    <w:rsid w:val="3DAB1FBF"/>
    <w:rsid w:val="3DAF4909"/>
    <w:rsid w:val="3F4168C2"/>
    <w:rsid w:val="413E130B"/>
    <w:rsid w:val="427C4B09"/>
    <w:rsid w:val="43574906"/>
    <w:rsid w:val="43A044FF"/>
    <w:rsid w:val="4450382F"/>
    <w:rsid w:val="445A46AE"/>
    <w:rsid w:val="44FA344C"/>
    <w:rsid w:val="45240818"/>
    <w:rsid w:val="45703A86"/>
    <w:rsid w:val="459E4A6E"/>
    <w:rsid w:val="45D71F81"/>
    <w:rsid w:val="463375D7"/>
    <w:rsid w:val="46BF2EEE"/>
    <w:rsid w:val="46D86459"/>
    <w:rsid w:val="47CF0F0F"/>
    <w:rsid w:val="47DB78B4"/>
    <w:rsid w:val="494C06BA"/>
    <w:rsid w:val="49F66C27"/>
    <w:rsid w:val="4B5D4D0D"/>
    <w:rsid w:val="4C2F4368"/>
    <w:rsid w:val="4C6A2DC7"/>
    <w:rsid w:val="4D826A23"/>
    <w:rsid w:val="4DC42B98"/>
    <w:rsid w:val="4DDD34AC"/>
    <w:rsid w:val="514F30C0"/>
    <w:rsid w:val="524424F9"/>
    <w:rsid w:val="5257047F"/>
    <w:rsid w:val="52B07B8F"/>
    <w:rsid w:val="5394161B"/>
    <w:rsid w:val="53DE4469"/>
    <w:rsid w:val="55C53951"/>
    <w:rsid w:val="560313B8"/>
    <w:rsid w:val="567535C9"/>
    <w:rsid w:val="567F1D52"/>
    <w:rsid w:val="56FE35BF"/>
    <w:rsid w:val="577E200A"/>
    <w:rsid w:val="57A203EE"/>
    <w:rsid w:val="5886386C"/>
    <w:rsid w:val="58D520FD"/>
    <w:rsid w:val="5A066ACC"/>
    <w:rsid w:val="5DA923D1"/>
    <w:rsid w:val="5DAA1DAA"/>
    <w:rsid w:val="5F610B8F"/>
    <w:rsid w:val="5FDB31EF"/>
    <w:rsid w:val="603B13E0"/>
    <w:rsid w:val="6170330B"/>
    <w:rsid w:val="620C651E"/>
    <w:rsid w:val="621C6BF0"/>
    <w:rsid w:val="629F56DA"/>
    <w:rsid w:val="638E1826"/>
    <w:rsid w:val="64520AA6"/>
    <w:rsid w:val="668B64F1"/>
    <w:rsid w:val="670F2C7E"/>
    <w:rsid w:val="67D31EFE"/>
    <w:rsid w:val="6BFB1A23"/>
    <w:rsid w:val="6C4B29AA"/>
    <w:rsid w:val="6CFFF132"/>
    <w:rsid w:val="6D512242"/>
    <w:rsid w:val="6D785A21"/>
    <w:rsid w:val="6EE449F0"/>
    <w:rsid w:val="717C3606"/>
    <w:rsid w:val="71C823A7"/>
    <w:rsid w:val="72113D4E"/>
    <w:rsid w:val="724834E8"/>
    <w:rsid w:val="734E4B2E"/>
    <w:rsid w:val="73593BFF"/>
    <w:rsid w:val="737722D7"/>
    <w:rsid w:val="74275AAB"/>
    <w:rsid w:val="747E1443"/>
    <w:rsid w:val="74956EB9"/>
    <w:rsid w:val="75461F61"/>
    <w:rsid w:val="75722D56"/>
    <w:rsid w:val="77972F48"/>
    <w:rsid w:val="77E31CE9"/>
    <w:rsid w:val="790941C9"/>
    <w:rsid w:val="79D82255"/>
    <w:rsid w:val="7AD61FD9"/>
    <w:rsid w:val="7BCA156B"/>
    <w:rsid w:val="7BFC15CB"/>
    <w:rsid w:val="7C1D7794"/>
    <w:rsid w:val="7DD16A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新宋体" w:hAnsi="新宋体" w:eastAsia="新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新宋体" w:hAnsi="新宋体" w:eastAsia="新宋体" w:cstheme="minorBidi"/>
      <w:kern w:val="2"/>
      <w:sz w:val="21"/>
      <w:szCs w:val="21"/>
      <w:lang w:val="en-US" w:eastAsia="zh-CN" w:bidi="ar-SA"/>
    </w:rPr>
  </w:style>
  <w:style w:type="paragraph" w:styleId="2">
    <w:name w:val="heading 1"/>
    <w:basedOn w:val="1"/>
    <w:next w:val="1"/>
    <w:link w:val="22"/>
    <w:autoRedefine/>
    <w:qFormat/>
    <w:uiPriority w:val="0"/>
    <w:pPr>
      <w:pBdr>
        <w:bottom w:val="thinThickSmallGap" w:color="943634" w:sz="12" w:space="1"/>
      </w:pBdr>
      <w:adjustRightInd w:val="0"/>
      <w:snapToGrid w:val="0"/>
      <w:spacing w:line="420" w:lineRule="exact"/>
      <w:jc w:val="center"/>
      <w:outlineLvl w:val="0"/>
    </w:pPr>
    <w:rPr>
      <w:rFonts w:eastAsia="黑体"/>
      <w:b/>
      <w:bCs/>
      <w:caps/>
      <w:color w:val="FF0000"/>
      <w:spacing w:val="20"/>
      <w:sz w:val="36"/>
      <w:szCs w:val="36"/>
    </w:rPr>
  </w:style>
  <w:style w:type="paragraph" w:styleId="3">
    <w:name w:val="heading 2"/>
    <w:basedOn w:val="1"/>
    <w:next w:val="1"/>
    <w:link w:val="24"/>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9"/>
    <w:autoRedefine/>
    <w:semiHidden/>
    <w:unhideWhenUsed/>
    <w:qFormat/>
    <w:uiPriority w:val="9"/>
    <w:pPr>
      <w:keepNext/>
      <w:keepLines/>
      <w:spacing w:before="80" w:after="40"/>
      <w:outlineLvl w:val="3"/>
    </w:pPr>
    <w:rPr>
      <w:rFonts w:asciiTheme="minorHAnsi" w:hAnsiTheme="minorHAnsi" w:eastAsiaTheme="minorEastAsia" w:cstheme="majorBidi"/>
      <w:color w:val="0F4761" w:themeColor="accent1" w:themeShade="BF"/>
      <w:sz w:val="28"/>
      <w:szCs w:val="28"/>
    </w:rPr>
  </w:style>
  <w:style w:type="paragraph" w:styleId="6">
    <w:name w:val="heading 5"/>
    <w:basedOn w:val="1"/>
    <w:next w:val="1"/>
    <w:link w:val="30"/>
    <w:autoRedefine/>
    <w:semiHidden/>
    <w:unhideWhenUsed/>
    <w:qFormat/>
    <w:uiPriority w:val="9"/>
    <w:pPr>
      <w:keepNext/>
      <w:keepLines/>
      <w:spacing w:before="80" w:after="40"/>
      <w:outlineLvl w:val="4"/>
    </w:pPr>
    <w:rPr>
      <w:rFonts w:asciiTheme="minorHAnsi" w:hAnsiTheme="minorHAnsi" w:eastAsiaTheme="minorEastAsia" w:cstheme="majorBidi"/>
      <w:color w:val="0F4761" w:themeColor="accent1" w:themeShade="BF"/>
      <w:sz w:val="24"/>
      <w:szCs w:val="24"/>
    </w:rPr>
  </w:style>
  <w:style w:type="paragraph" w:styleId="7">
    <w:name w:val="heading 6"/>
    <w:basedOn w:val="1"/>
    <w:next w:val="1"/>
    <w:link w:val="31"/>
    <w:autoRedefine/>
    <w:semiHidden/>
    <w:unhideWhenUsed/>
    <w:qFormat/>
    <w:uiPriority w:val="9"/>
    <w:pPr>
      <w:keepNext/>
      <w:keepLines/>
      <w:spacing w:before="40"/>
      <w:outlineLvl w:val="5"/>
    </w:pPr>
    <w:rPr>
      <w:rFonts w:asciiTheme="minorHAnsi" w:hAnsiTheme="minorHAnsi" w:eastAsiaTheme="minorEastAsia" w:cstheme="majorBidi"/>
      <w:b/>
      <w:bCs/>
      <w:color w:val="0F4761" w:themeColor="accent1" w:themeShade="BF"/>
    </w:rPr>
  </w:style>
  <w:style w:type="paragraph" w:styleId="8">
    <w:name w:val="heading 7"/>
    <w:basedOn w:val="1"/>
    <w:next w:val="1"/>
    <w:link w:val="32"/>
    <w:autoRedefine/>
    <w:semiHidden/>
    <w:unhideWhenUsed/>
    <w:qFormat/>
    <w:uiPriority w:val="9"/>
    <w:pPr>
      <w:keepNext/>
      <w:keepLines/>
      <w:spacing w:before="40"/>
      <w:outlineLvl w:val="6"/>
    </w:pPr>
    <w:rPr>
      <w:rFonts w:asciiTheme="minorHAnsi" w:hAnsiTheme="minorHAnsi" w:eastAsiaTheme="minorEastAsia" w:cstheme="majorBidi"/>
      <w:b/>
      <w:bCs/>
      <w:color w:val="585858" w:themeColor="text1" w:themeTint="A6"/>
    </w:rPr>
  </w:style>
  <w:style w:type="paragraph" w:styleId="9">
    <w:name w:val="heading 8"/>
    <w:basedOn w:val="1"/>
    <w:next w:val="1"/>
    <w:link w:val="33"/>
    <w:semiHidden/>
    <w:unhideWhenUsed/>
    <w:qFormat/>
    <w:uiPriority w:val="9"/>
    <w:pPr>
      <w:keepNext/>
      <w:keepLines/>
      <w:outlineLvl w:val="7"/>
    </w:pPr>
    <w:rPr>
      <w:rFonts w:asciiTheme="minorHAnsi" w:hAnsiTheme="minorHAnsi" w:eastAsiaTheme="minorEastAsia" w:cstheme="majorBidi"/>
      <w:color w:val="585858" w:themeColor="text1" w:themeTint="A6"/>
    </w:rPr>
  </w:style>
  <w:style w:type="paragraph" w:styleId="10">
    <w:name w:val="heading 9"/>
    <w:basedOn w:val="1"/>
    <w:next w:val="1"/>
    <w:link w:val="34"/>
    <w:autoRedefine/>
    <w:semiHidden/>
    <w:unhideWhenUsed/>
    <w:qFormat/>
    <w:uiPriority w:val="9"/>
    <w:pPr>
      <w:keepNext/>
      <w:keepLines/>
      <w:outlineLvl w:val="8"/>
    </w:pPr>
    <w:rPr>
      <w:rFonts w:asciiTheme="minorHAnsi" w:hAnsiTheme="minorHAnsi" w:eastAsiaTheme="majorEastAsia" w:cstheme="majorBidi"/>
      <w:color w:val="585858" w:themeColor="text1" w:themeTint="A6"/>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11">
    <w:name w:val="toc 3"/>
    <w:basedOn w:val="1"/>
    <w:next w:val="1"/>
    <w:autoRedefine/>
    <w:unhideWhenUsed/>
    <w:qFormat/>
    <w:uiPriority w:val="39"/>
    <w:pPr>
      <w:widowControl/>
      <w:spacing w:after="100" w:line="259" w:lineRule="auto"/>
      <w:ind w:left="440"/>
      <w:jc w:val="left"/>
    </w:pPr>
    <w:rPr>
      <w:rFonts w:cs="Times New Roman" w:asciiTheme="minorHAnsi" w:hAnsiTheme="minorHAnsi" w:eastAsiaTheme="minorEastAsia"/>
      <w:kern w:val="0"/>
      <w:sz w:val="22"/>
      <w:szCs w:val="22"/>
    </w:rPr>
  </w:style>
  <w:style w:type="paragraph" w:styleId="12">
    <w:name w:val="Balloon Text"/>
    <w:basedOn w:val="1"/>
    <w:link w:val="47"/>
    <w:autoRedefine/>
    <w:semiHidden/>
    <w:unhideWhenUsed/>
    <w:qFormat/>
    <w:uiPriority w:val="99"/>
    <w:rPr>
      <w:sz w:val="18"/>
      <w:szCs w:val="18"/>
    </w:rPr>
  </w:style>
  <w:style w:type="paragraph" w:styleId="13">
    <w:name w:val="footer"/>
    <w:basedOn w:val="1"/>
    <w:link w:val="45"/>
    <w:autoRedefine/>
    <w:unhideWhenUsed/>
    <w:qFormat/>
    <w:uiPriority w:val="99"/>
    <w:pPr>
      <w:tabs>
        <w:tab w:val="center" w:pos="4153"/>
        <w:tab w:val="right" w:pos="8306"/>
      </w:tabs>
      <w:snapToGrid w:val="0"/>
      <w:jc w:val="left"/>
    </w:pPr>
    <w:rPr>
      <w:sz w:val="18"/>
      <w:szCs w:val="18"/>
    </w:rPr>
  </w:style>
  <w:style w:type="paragraph" w:styleId="14">
    <w:name w:val="header"/>
    <w:basedOn w:val="1"/>
    <w:link w:val="44"/>
    <w:autoRedefine/>
    <w:unhideWhenUsed/>
    <w:qFormat/>
    <w:uiPriority w:val="99"/>
    <w:pP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tabs>
        <w:tab w:val="right" w:leader="dot" w:pos="9060"/>
      </w:tabs>
      <w:spacing w:after="100" w:line="259" w:lineRule="auto"/>
      <w:jc w:val="left"/>
    </w:pPr>
    <w:rPr>
      <w:rFonts w:cs="Times New Roman" w:asciiTheme="minorHAnsi" w:hAnsiTheme="minorHAnsi" w:eastAsiaTheme="minorEastAsia"/>
      <w:b/>
      <w:bCs/>
      <w:kern w:val="0"/>
      <w:sz w:val="22"/>
      <w:szCs w:val="22"/>
    </w:rPr>
  </w:style>
  <w:style w:type="paragraph" w:styleId="16">
    <w:name w:val="Subtitle"/>
    <w:basedOn w:val="1"/>
    <w:next w:val="1"/>
    <w:link w:val="36"/>
    <w:autoRedefine/>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7">
    <w:name w:val="toc 2"/>
    <w:basedOn w:val="1"/>
    <w:next w:val="1"/>
    <w:unhideWhenUsed/>
    <w:qFormat/>
    <w:uiPriority w:val="39"/>
    <w:pPr>
      <w:widowControl/>
      <w:spacing w:after="100" w:line="259" w:lineRule="auto"/>
      <w:ind w:left="220"/>
      <w:jc w:val="left"/>
    </w:pPr>
    <w:rPr>
      <w:rFonts w:cs="Times New Roman" w:asciiTheme="minorHAnsi" w:hAnsiTheme="minorHAnsi" w:eastAsiaTheme="minorEastAsia"/>
      <w:kern w:val="0"/>
      <w:sz w:val="22"/>
      <w:szCs w:val="22"/>
    </w:rPr>
  </w:style>
  <w:style w:type="paragraph" w:styleId="18">
    <w:name w:val="Title"/>
    <w:basedOn w:val="1"/>
    <w:next w:val="1"/>
    <w:link w:val="35"/>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1">
    <w:name w:val="Hyperlink"/>
    <w:basedOn w:val="20"/>
    <w:autoRedefine/>
    <w:unhideWhenUsed/>
    <w:qFormat/>
    <w:uiPriority w:val="99"/>
    <w:rPr>
      <w:color w:val="467886" w:themeColor="hyperlink"/>
      <w:u w:val="single"/>
    </w:rPr>
  </w:style>
  <w:style w:type="character" w:customStyle="1" w:styleId="22">
    <w:name w:val="标题 1 Char"/>
    <w:link w:val="2"/>
    <w:autoRedefine/>
    <w:qFormat/>
    <w:uiPriority w:val="0"/>
    <w:rPr>
      <w:rFonts w:eastAsia="黑体"/>
      <w:b/>
      <w:bCs/>
      <w:caps/>
      <w:color w:val="FF0000"/>
      <w:spacing w:val="20"/>
      <w:sz w:val="36"/>
      <w:szCs w:val="36"/>
    </w:rPr>
  </w:style>
  <w:style w:type="paragraph" w:customStyle="1" w:styleId="23">
    <w:name w:val="二级标题"/>
    <w:basedOn w:val="3"/>
    <w:next w:val="1"/>
    <w:autoRedefine/>
    <w:qFormat/>
    <w:uiPriority w:val="0"/>
    <w:pPr>
      <w:keepNext w:val="0"/>
      <w:keepLines w:val="0"/>
      <w:pBdr>
        <w:bottom w:val="single" w:color="622423" w:sz="4" w:space="1"/>
      </w:pBdr>
      <w:adjustRightInd w:val="0"/>
      <w:snapToGrid w:val="0"/>
      <w:spacing w:beforeLines="50" w:afterLines="50" w:line="400" w:lineRule="exact"/>
      <w:ind w:firstLine="592" w:firstLineChars="200"/>
      <w:jc w:val="left"/>
    </w:pPr>
    <w:rPr>
      <w:rFonts w:ascii="宋体" w:hAnsi="宋体" w:eastAsia="黑体" w:cs="宋体"/>
      <w:caps/>
      <w:color w:val="FF0000"/>
      <w:spacing w:val="15"/>
      <w:sz w:val="28"/>
      <w:szCs w:val="24"/>
    </w:rPr>
  </w:style>
  <w:style w:type="character" w:customStyle="1" w:styleId="24">
    <w:name w:val="标题 2 Char"/>
    <w:basedOn w:val="20"/>
    <w:link w:val="3"/>
    <w:autoRedefine/>
    <w:semiHidden/>
    <w:qFormat/>
    <w:uiPriority w:val="9"/>
    <w:rPr>
      <w:rFonts w:asciiTheme="majorHAnsi" w:hAnsiTheme="majorHAnsi" w:eastAsiaTheme="majorEastAsia" w:cstheme="majorBidi"/>
      <w:b/>
      <w:bCs/>
      <w:sz w:val="32"/>
      <w:szCs w:val="32"/>
    </w:rPr>
  </w:style>
  <w:style w:type="paragraph" w:customStyle="1" w:styleId="25">
    <w:name w:val="三级标题"/>
    <w:basedOn w:val="1"/>
    <w:next w:val="1"/>
    <w:autoRedefine/>
    <w:qFormat/>
    <w:uiPriority w:val="0"/>
    <w:pPr>
      <w:adjustRightInd w:val="0"/>
      <w:snapToGrid w:val="0"/>
      <w:spacing w:line="400" w:lineRule="exact"/>
      <w:ind w:firstLine="422" w:firstLineChars="200"/>
      <w:jc w:val="left"/>
      <w:outlineLvl w:val="2"/>
    </w:pPr>
    <w:rPr>
      <w:rFonts w:cs="宋体"/>
      <w:b/>
      <w:bCs/>
      <w:kern w:val="0"/>
    </w:rPr>
  </w:style>
  <w:style w:type="paragraph" w:customStyle="1" w:styleId="26">
    <w:name w:val="四级标题"/>
    <w:basedOn w:val="1"/>
    <w:next w:val="1"/>
    <w:link w:val="27"/>
    <w:autoRedefine/>
    <w:qFormat/>
    <w:uiPriority w:val="0"/>
    <w:pPr>
      <w:adjustRightInd w:val="0"/>
      <w:snapToGrid w:val="0"/>
      <w:spacing w:line="400" w:lineRule="exact"/>
      <w:ind w:firstLine="422" w:firstLineChars="200"/>
      <w:jc w:val="left"/>
      <w:outlineLvl w:val="3"/>
    </w:pPr>
    <w:rPr>
      <w:rFonts w:ascii="宋体" w:hAnsi="宋体"/>
      <w:b/>
      <w:bCs/>
    </w:rPr>
  </w:style>
  <w:style w:type="character" w:customStyle="1" w:styleId="27">
    <w:name w:val="四级标题 字符"/>
    <w:basedOn w:val="20"/>
    <w:link w:val="26"/>
    <w:autoRedefine/>
    <w:qFormat/>
    <w:uiPriority w:val="0"/>
    <w:rPr>
      <w:rFonts w:ascii="宋体" w:hAnsi="宋体" w:eastAsia="新宋体"/>
      <w:b/>
      <w:bCs/>
      <w:szCs w:val="21"/>
    </w:rPr>
  </w:style>
  <w:style w:type="character" w:customStyle="1" w:styleId="28">
    <w:name w:val="标题 3 Char"/>
    <w:basedOn w:val="20"/>
    <w:link w:val="4"/>
    <w:autoRedefine/>
    <w:semiHidden/>
    <w:qFormat/>
    <w:uiPriority w:val="9"/>
    <w:rPr>
      <w:rFonts w:asciiTheme="majorHAnsi" w:hAnsiTheme="majorHAnsi" w:eastAsiaTheme="majorEastAsia" w:cstheme="majorBidi"/>
      <w:color w:val="0F4761" w:themeColor="accent1" w:themeShade="BF"/>
      <w:sz w:val="32"/>
      <w:szCs w:val="32"/>
    </w:rPr>
  </w:style>
  <w:style w:type="character" w:customStyle="1" w:styleId="29">
    <w:name w:val="标题 4 Char"/>
    <w:basedOn w:val="20"/>
    <w:link w:val="5"/>
    <w:autoRedefine/>
    <w:semiHidden/>
    <w:qFormat/>
    <w:uiPriority w:val="9"/>
    <w:rPr>
      <w:rFonts w:asciiTheme="minorHAnsi" w:hAnsiTheme="minorHAnsi" w:eastAsiaTheme="minorEastAsia" w:cstheme="majorBidi"/>
      <w:color w:val="0F4761" w:themeColor="accent1" w:themeShade="BF"/>
      <w:sz w:val="28"/>
      <w:szCs w:val="28"/>
    </w:rPr>
  </w:style>
  <w:style w:type="character" w:customStyle="1" w:styleId="30">
    <w:name w:val="标题 5 Char"/>
    <w:basedOn w:val="20"/>
    <w:link w:val="6"/>
    <w:autoRedefine/>
    <w:semiHidden/>
    <w:qFormat/>
    <w:uiPriority w:val="9"/>
    <w:rPr>
      <w:rFonts w:asciiTheme="minorHAnsi" w:hAnsiTheme="minorHAnsi" w:eastAsiaTheme="minorEastAsia" w:cstheme="majorBidi"/>
      <w:color w:val="0F4761" w:themeColor="accent1" w:themeShade="BF"/>
      <w:sz w:val="24"/>
      <w:szCs w:val="24"/>
    </w:rPr>
  </w:style>
  <w:style w:type="character" w:customStyle="1" w:styleId="31">
    <w:name w:val="标题 6 Char"/>
    <w:basedOn w:val="20"/>
    <w:link w:val="7"/>
    <w:semiHidden/>
    <w:qFormat/>
    <w:uiPriority w:val="9"/>
    <w:rPr>
      <w:rFonts w:asciiTheme="minorHAnsi" w:hAnsiTheme="minorHAnsi" w:eastAsiaTheme="minorEastAsia" w:cstheme="majorBidi"/>
      <w:b/>
      <w:bCs/>
      <w:color w:val="0F4761" w:themeColor="accent1" w:themeShade="BF"/>
    </w:rPr>
  </w:style>
  <w:style w:type="character" w:customStyle="1" w:styleId="32">
    <w:name w:val="标题 7 Char"/>
    <w:basedOn w:val="20"/>
    <w:link w:val="8"/>
    <w:autoRedefine/>
    <w:semiHidden/>
    <w:qFormat/>
    <w:uiPriority w:val="9"/>
    <w:rPr>
      <w:rFonts w:asciiTheme="minorHAnsi" w:hAnsiTheme="minorHAnsi" w:eastAsiaTheme="minorEastAsia" w:cstheme="majorBidi"/>
      <w:b/>
      <w:bCs/>
      <w:color w:val="585858" w:themeColor="text1" w:themeTint="A6"/>
    </w:rPr>
  </w:style>
  <w:style w:type="character" w:customStyle="1" w:styleId="33">
    <w:name w:val="标题 8 Char"/>
    <w:basedOn w:val="20"/>
    <w:link w:val="9"/>
    <w:autoRedefine/>
    <w:semiHidden/>
    <w:qFormat/>
    <w:uiPriority w:val="9"/>
    <w:rPr>
      <w:rFonts w:asciiTheme="minorHAnsi" w:hAnsiTheme="minorHAnsi" w:eastAsiaTheme="minorEastAsia" w:cstheme="majorBidi"/>
      <w:color w:val="585858" w:themeColor="text1" w:themeTint="A6"/>
    </w:rPr>
  </w:style>
  <w:style w:type="character" w:customStyle="1" w:styleId="34">
    <w:name w:val="标题 9 Char"/>
    <w:basedOn w:val="20"/>
    <w:link w:val="10"/>
    <w:autoRedefine/>
    <w:semiHidden/>
    <w:qFormat/>
    <w:uiPriority w:val="9"/>
    <w:rPr>
      <w:rFonts w:asciiTheme="minorHAnsi" w:hAnsiTheme="minorHAnsi" w:eastAsiaTheme="majorEastAsia" w:cstheme="majorBidi"/>
      <w:color w:val="585858" w:themeColor="text1" w:themeTint="A6"/>
    </w:rPr>
  </w:style>
  <w:style w:type="character" w:customStyle="1" w:styleId="35">
    <w:name w:val="标题 Char"/>
    <w:basedOn w:val="20"/>
    <w:link w:val="18"/>
    <w:autoRedefine/>
    <w:qFormat/>
    <w:uiPriority w:val="10"/>
    <w:rPr>
      <w:rFonts w:asciiTheme="majorHAnsi" w:hAnsiTheme="majorHAnsi" w:eastAsiaTheme="majorEastAsia" w:cstheme="majorBidi"/>
      <w:spacing w:val="-10"/>
      <w:kern w:val="28"/>
      <w:sz w:val="56"/>
      <w:szCs w:val="56"/>
    </w:rPr>
  </w:style>
  <w:style w:type="character" w:customStyle="1" w:styleId="36">
    <w:name w:val="副标题 Char"/>
    <w:basedOn w:val="20"/>
    <w:link w:val="16"/>
    <w:autoRedefine/>
    <w:qFormat/>
    <w:uiPriority w:val="11"/>
    <w:rPr>
      <w:rFonts w:asciiTheme="majorHAnsi" w:hAnsiTheme="majorHAnsi" w:eastAsiaTheme="majorEastAsia" w:cstheme="majorBidi"/>
      <w:color w:val="585858" w:themeColor="text1" w:themeTint="A6"/>
      <w:spacing w:val="15"/>
      <w:sz w:val="28"/>
      <w:szCs w:val="28"/>
    </w:rPr>
  </w:style>
  <w:style w:type="paragraph" w:styleId="37">
    <w:name w:val="Quote"/>
    <w:basedOn w:val="1"/>
    <w:next w:val="1"/>
    <w:link w:val="38"/>
    <w:autoRedefine/>
    <w:qFormat/>
    <w:uiPriority w:val="29"/>
    <w:pPr>
      <w:spacing w:before="160" w:after="160"/>
      <w:jc w:val="center"/>
    </w:pPr>
    <w:rPr>
      <w:i/>
      <w:iCs/>
      <w:color w:val="3F3F3F" w:themeColor="text1" w:themeTint="BF"/>
    </w:rPr>
  </w:style>
  <w:style w:type="character" w:customStyle="1" w:styleId="38">
    <w:name w:val="引用 Char"/>
    <w:basedOn w:val="20"/>
    <w:link w:val="37"/>
    <w:autoRedefine/>
    <w:qFormat/>
    <w:uiPriority w:val="29"/>
    <w:rPr>
      <w:i/>
      <w:iCs/>
      <w:color w:val="3F3F3F" w:themeColor="text1" w:themeTint="BF"/>
    </w:rPr>
  </w:style>
  <w:style w:type="paragraph" w:styleId="39">
    <w:name w:val="List Paragraph"/>
    <w:basedOn w:val="1"/>
    <w:autoRedefine/>
    <w:qFormat/>
    <w:uiPriority w:val="34"/>
    <w:pPr>
      <w:ind w:left="720"/>
      <w:contextualSpacing/>
    </w:pPr>
  </w:style>
  <w:style w:type="character" w:customStyle="1" w:styleId="40">
    <w:name w:val="明显强调1"/>
    <w:basedOn w:val="20"/>
    <w:autoRedefine/>
    <w:qFormat/>
    <w:uiPriority w:val="21"/>
    <w:rPr>
      <w:i/>
      <w:iCs/>
      <w:color w:val="0F4761" w:themeColor="accent1" w:themeShade="BF"/>
    </w:rPr>
  </w:style>
  <w:style w:type="paragraph" w:styleId="41">
    <w:name w:val="Intense Quote"/>
    <w:basedOn w:val="1"/>
    <w:next w:val="1"/>
    <w:link w:val="42"/>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42">
    <w:name w:val="明显引用 Char"/>
    <w:basedOn w:val="20"/>
    <w:link w:val="41"/>
    <w:autoRedefine/>
    <w:qFormat/>
    <w:uiPriority w:val="30"/>
    <w:rPr>
      <w:i/>
      <w:iCs/>
      <w:color w:val="0F4761" w:themeColor="accent1" w:themeShade="BF"/>
    </w:rPr>
  </w:style>
  <w:style w:type="character" w:customStyle="1" w:styleId="43">
    <w:name w:val="明显参考1"/>
    <w:basedOn w:val="20"/>
    <w:autoRedefine/>
    <w:qFormat/>
    <w:uiPriority w:val="32"/>
    <w:rPr>
      <w:b/>
      <w:bCs/>
      <w:smallCaps/>
      <w:color w:val="0F4761" w:themeColor="accent1" w:themeShade="BF"/>
      <w:spacing w:val="5"/>
    </w:rPr>
  </w:style>
  <w:style w:type="character" w:customStyle="1" w:styleId="44">
    <w:name w:val="页眉 Char"/>
    <w:basedOn w:val="20"/>
    <w:link w:val="14"/>
    <w:autoRedefine/>
    <w:qFormat/>
    <w:uiPriority w:val="99"/>
    <w:rPr>
      <w:sz w:val="18"/>
      <w:szCs w:val="18"/>
    </w:rPr>
  </w:style>
  <w:style w:type="character" w:customStyle="1" w:styleId="45">
    <w:name w:val="页脚 Char"/>
    <w:basedOn w:val="20"/>
    <w:link w:val="13"/>
    <w:autoRedefine/>
    <w:qFormat/>
    <w:uiPriority w:val="99"/>
    <w:rPr>
      <w:sz w:val="18"/>
      <w:szCs w:val="18"/>
    </w:rPr>
  </w:style>
  <w:style w:type="paragraph" w:customStyle="1" w:styleId="46">
    <w:name w:val="TOC 标题1"/>
    <w:basedOn w:val="2"/>
    <w:next w:val="1"/>
    <w:autoRedefine/>
    <w:unhideWhenUsed/>
    <w:qFormat/>
    <w:uiPriority w:val="39"/>
    <w:pPr>
      <w:keepNext/>
      <w:keepLines/>
      <w:widowControl/>
      <w:pBdr>
        <w:bottom w:val="none" w:color="auto" w:sz="0" w:space="0"/>
      </w:pBdr>
      <w:adjustRightInd/>
      <w:snapToGrid/>
      <w:spacing w:before="240" w:line="259" w:lineRule="auto"/>
      <w:jc w:val="left"/>
      <w:outlineLvl w:val="9"/>
    </w:pPr>
    <w:rPr>
      <w:rFonts w:asciiTheme="majorHAnsi" w:hAnsiTheme="majorHAnsi" w:eastAsiaTheme="majorEastAsia" w:cstheme="majorBidi"/>
      <w:b w:val="0"/>
      <w:bCs w:val="0"/>
      <w:caps w:val="0"/>
      <w:color w:val="0F4761" w:themeColor="accent1" w:themeShade="BF"/>
      <w:spacing w:val="0"/>
      <w:kern w:val="0"/>
      <w:sz w:val="32"/>
      <w:szCs w:val="32"/>
    </w:rPr>
  </w:style>
  <w:style w:type="character" w:customStyle="1" w:styleId="47">
    <w:name w:val="批注框文本 Char"/>
    <w:basedOn w:val="20"/>
    <w:link w:val="12"/>
    <w:autoRedefine/>
    <w:semiHidden/>
    <w:qFormat/>
    <w:uiPriority w:val="99"/>
    <w:rPr>
      <w:kern w:val="2"/>
      <w:sz w:val="18"/>
      <w:szCs w:val="18"/>
    </w:rPr>
  </w:style>
  <w:style w:type="paragraph" w:customStyle="1" w:styleId="48">
    <w:name w:val="WPSOffice手动目录 1"/>
    <w:autoRedefine/>
    <w:qFormat/>
    <w:uiPriority w:val="0"/>
    <w:pPr>
      <w:ind w:leftChars="0"/>
    </w:pPr>
    <w:rPr>
      <w:rFonts w:ascii="新宋体" w:hAnsi="新宋体" w:eastAsia="新宋体" w:cstheme="minorBidi"/>
      <w:sz w:val="20"/>
      <w:szCs w:val="20"/>
    </w:rPr>
  </w:style>
  <w:style w:type="paragraph" w:customStyle="1" w:styleId="49">
    <w:name w:val="WPSOffice手动目录 2"/>
    <w:autoRedefine/>
    <w:qFormat/>
    <w:uiPriority w:val="0"/>
    <w:pPr>
      <w:ind w:leftChars="200"/>
    </w:pPr>
    <w:rPr>
      <w:rFonts w:ascii="新宋体" w:hAnsi="新宋体" w:eastAsia="新宋体"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2295</Words>
  <Characters>13086</Characters>
  <Lines>109</Lines>
  <Paragraphs>30</Paragraphs>
  <TotalTime>12</TotalTime>
  <ScaleCrop>false</ScaleCrop>
  <LinksUpToDate>false</LinksUpToDate>
  <CharactersWithSpaces>15351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2024-03-19T09:05:00Z</dcterms:created>
  <dc:creator>先生 张</dc:creator>
  <cp:lastModifiedBy>Aimee1378702482</cp:lastModifiedBy>
  <dcterms:modified xsi:type="dcterms:W3CDTF">2024-05-17T01:33:26Z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1AC1D3ECFCC2402091CCDC67F8EAE2E6_12</vt:lpwstr>
  </property>
</Properties>
</file>