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850DD">
      <w:pPr>
        <w:spacing w:line="261" w:lineRule="auto"/>
        <w:rPr>
          <w:rFonts w:ascii="Arial"/>
          <w:sz w:val="21"/>
        </w:rPr>
      </w:pPr>
    </w:p>
    <w:p w14:paraId="396E9F2F">
      <w:pPr>
        <w:spacing w:before="98" w:line="219" w:lineRule="auto"/>
        <w:ind w:left="109"/>
        <w:outlineLvl w:val="0"/>
        <w:rPr>
          <w:rFonts w:hint="eastAsia" w:ascii="仿宋_GB2312" w:hAnsi="仿宋_GB2312" w:eastAsia="仿宋_GB2312" w:cs="仿宋_GB2312"/>
          <w:sz w:val="30"/>
          <w:szCs w:val="30"/>
        </w:rPr>
      </w:pPr>
      <w:r>
        <w:rPr>
          <w:rFonts w:hint="eastAsia" w:ascii="仿宋_GB2312" w:hAnsi="仿宋_GB2312" w:eastAsia="仿宋_GB2312" w:cs="仿宋_GB2312"/>
          <w:b/>
          <w:bCs/>
          <w:spacing w:val="-1"/>
          <w:sz w:val="30"/>
          <w:szCs w:val="30"/>
        </w:rPr>
        <w:t>附件1:评分细则</w:t>
      </w:r>
    </w:p>
    <w:p w14:paraId="19320289">
      <w:pPr>
        <w:spacing w:line="132" w:lineRule="exact"/>
      </w:pPr>
    </w:p>
    <w:tbl>
      <w:tblPr>
        <w:tblStyle w:val="6"/>
        <w:tblpPr w:leftFromText="180" w:rightFromText="180" w:vertAnchor="text" w:horzAnchor="page" w:tblpX="1035" w:tblpY="179"/>
        <w:tblOverlap w:val="never"/>
        <w:tblW w:w="15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3"/>
        <w:gridCol w:w="1417"/>
        <w:gridCol w:w="1417"/>
        <w:gridCol w:w="11196"/>
        <w:gridCol w:w="714"/>
      </w:tblGrid>
      <w:tr w14:paraId="04329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3" w:type="dxa"/>
            <w:vAlign w:val="center"/>
          </w:tcPr>
          <w:p w14:paraId="4B9AA59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2"/>
              </w:rPr>
              <w:t>序号</w:t>
            </w:r>
          </w:p>
        </w:tc>
        <w:tc>
          <w:tcPr>
            <w:tcW w:w="1417" w:type="dxa"/>
            <w:vAlign w:val="center"/>
          </w:tcPr>
          <w:p w14:paraId="3965603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2"/>
              </w:rPr>
            </w:pPr>
            <w:r>
              <w:rPr>
                <w:rFonts w:hint="eastAsia"/>
                <w:spacing w:val="2"/>
              </w:rPr>
              <w:t>条款号</w:t>
            </w:r>
          </w:p>
        </w:tc>
        <w:tc>
          <w:tcPr>
            <w:tcW w:w="1417" w:type="dxa"/>
            <w:vAlign w:val="center"/>
          </w:tcPr>
          <w:p w14:paraId="0AD38E1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2"/>
              </w:rPr>
              <w:t>评分因素</w:t>
            </w:r>
          </w:p>
        </w:tc>
        <w:tc>
          <w:tcPr>
            <w:tcW w:w="11196" w:type="dxa"/>
            <w:vAlign w:val="center"/>
          </w:tcPr>
          <w:p w14:paraId="691C5ED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评分细则</w:t>
            </w:r>
          </w:p>
        </w:tc>
        <w:tc>
          <w:tcPr>
            <w:tcW w:w="714" w:type="dxa"/>
            <w:vAlign w:val="center"/>
          </w:tcPr>
          <w:p w14:paraId="0BBD448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5"/>
              </w:rPr>
              <w:t>最高得分</w:t>
            </w:r>
          </w:p>
        </w:tc>
      </w:tr>
      <w:tr w14:paraId="6350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73" w:type="dxa"/>
            <w:vAlign w:val="center"/>
          </w:tcPr>
          <w:p w14:paraId="5C7A243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1</w:t>
            </w:r>
          </w:p>
        </w:tc>
        <w:tc>
          <w:tcPr>
            <w:tcW w:w="1417" w:type="dxa"/>
            <w:vAlign w:val="center"/>
          </w:tcPr>
          <w:p w14:paraId="269355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2"/>
              </w:rPr>
            </w:pPr>
            <w:r>
              <w:rPr>
                <w:spacing w:val="-2"/>
              </w:rPr>
              <w:t>报价部分</w:t>
            </w:r>
          </w:p>
          <w:p w14:paraId="5D72ED3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0"/>
              </w:rPr>
              <w:t>(</w:t>
            </w:r>
            <w:r>
              <w:rPr>
                <w:rFonts w:hint="eastAsia"/>
                <w:spacing w:val="10"/>
                <w:lang w:val="en-US" w:eastAsia="zh-CN"/>
              </w:rPr>
              <w:t>2</w:t>
            </w:r>
            <w:r>
              <w:rPr>
                <w:spacing w:val="10"/>
              </w:rPr>
              <w:t>0分)</w:t>
            </w:r>
          </w:p>
        </w:tc>
        <w:tc>
          <w:tcPr>
            <w:tcW w:w="1417" w:type="dxa"/>
            <w:vAlign w:val="center"/>
          </w:tcPr>
          <w:p w14:paraId="4E6FB6D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rPr>
              <w:t>投标报价得分计算方法</w:t>
            </w:r>
          </w:p>
        </w:tc>
        <w:tc>
          <w:tcPr>
            <w:tcW w:w="11196" w:type="dxa"/>
            <w:vAlign w:val="center"/>
          </w:tcPr>
          <w:p w14:paraId="19558A03">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投标报价得分＝评标基准价为满分（即</w:t>
            </w:r>
            <w:r>
              <w:rPr>
                <w:rFonts w:hint="eastAsia" w:cs="宋体"/>
                <w:snapToGrid w:val="0"/>
                <w:color w:val="000000"/>
                <w:spacing w:val="-1"/>
                <w:kern w:val="0"/>
                <w:sz w:val="24"/>
                <w:szCs w:val="24"/>
                <w:lang w:val="en-US" w:eastAsia="zh-CN" w:bidi="ar-SA"/>
              </w:rPr>
              <w:t>2</w:t>
            </w:r>
            <w:r>
              <w:rPr>
                <w:rFonts w:hint="eastAsia" w:ascii="宋体" w:hAnsi="宋体" w:eastAsia="宋体" w:cs="宋体"/>
                <w:snapToGrid w:val="0"/>
                <w:color w:val="000000"/>
                <w:spacing w:val="-1"/>
                <w:kern w:val="0"/>
                <w:sz w:val="24"/>
                <w:szCs w:val="24"/>
                <w:lang w:val="en-US" w:eastAsia="en-US" w:bidi="ar-SA"/>
              </w:rPr>
              <w:t>0分），采用内插法计算，供应商报价每高于评标基准价1％的扣0.2分，每低于评标基准价 1％的扣0.1分，计算出供应商的投标报价得分（得分四舍五入精确到小数点后 2 位）。</w:t>
            </w:r>
          </w:p>
          <w:p w14:paraId="0D081794">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注：</w:t>
            </w:r>
          </w:p>
          <w:p w14:paraId="3D6EBD5E">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评标基准价D确定方式：D＝P</w:t>
            </w:r>
          </w:p>
          <w:p w14:paraId="32CFE47E">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P值采用下列确定方式：</w:t>
            </w:r>
          </w:p>
          <w:p w14:paraId="36ED5F8B">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ascii="Arial"/>
                <w:sz w:val="21"/>
              </w:rPr>
            </w:pPr>
            <w:r>
              <w:rPr>
                <w:rFonts w:hint="eastAsia" w:ascii="宋体" w:hAnsi="宋体" w:eastAsia="宋体" w:cs="宋体"/>
                <w:snapToGrid w:val="0"/>
                <w:color w:val="000000"/>
                <w:spacing w:val="-1"/>
                <w:kern w:val="0"/>
                <w:sz w:val="24"/>
                <w:szCs w:val="24"/>
                <w:lang w:val="en-US" w:eastAsia="en-US" w:bidi="ar-SA"/>
              </w:rPr>
              <w:t>各有效投标报价评标价格的算术平均值；当有效投标家数≤6 时，全部有效投标报价参与P值的计算；当有效投标家数＞6 时，去掉一个最高和一个最低有效投标报价，其余有效投标报价参与P值的计算。</w:t>
            </w:r>
          </w:p>
        </w:tc>
        <w:tc>
          <w:tcPr>
            <w:tcW w:w="714" w:type="dxa"/>
            <w:vAlign w:val="center"/>
          </w:tcPr>
          <w:p w14:paraId="75C69B2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lang w:val="en-US"/>
              </w:rPr>
            </w:pPr>
            <w:r>
              <w:rPr>
                <w:rFonts w:hint="eastAsia"/>
                <w:spacing w:val="-4"/>
                <w:lang w:val="en-US" w:eastAsia="zh-CN"/>
              </w:rPr>
              <w:t>20</w:t>
            </w:r>
          </w:p>
        </w:tc>
      </w:tr>
      <w:tr w14:paraId="273DD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773" w:type="dxa"/>
            <w:vAlign w:val="center"/>
          </w:tcPr>
          <w:p w14:paraId="05C6E4F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2</w:t>
            </w:r>
          </w:p>
        </w:tc>
        <w:tc>
          <w:tcPr>
            <w:tcW w:w="1417" w:type="dxa"/>
            <w:vMerge w:val="restart"/>
            <w:vAlign w:val="center"/>
          </w:tcPr>
          <w:p w14:paraId="6F508EA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2"/>
              </w:rPr>
            </w:pPr>
            <w:r>
              <w:rPr>
                <w:spacing w:val="2"/>
              </w:rPr>
              <w:t>商务部分</w:t>
            </w:r>
          </w:p>
          <w:p w14:paraId="765E2E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8"/>
              </w:rPr>
              <w:t>(</w:t>
            </w:r>
            <w:r>
              <w:rPr>
                <w:rFonts w:hint="eastAsia"/>
                <w:spacing w:val="18"/>
                <w:lang w:val="en-US" w:eastAsia="zh-CN"/>
              </w:rPr>
              <w:t>80</w:t>
            </w:r>
            <w:r>
              <w:rPr>
                <w:spacing w:val="10"/>
              </w:rPr>
              <w:t>分)</w:t>
            </w:r>
          </w:p>
        </w:tc>
        <w:tc>
          <w:tcPr>
            <w:tcW w:w="1417" w:type="dxa"/>
            <w:vAlign w:val="center"/>
          </w:tcPr>
          <w:p w14:paraId="10C6AA16">
            <w:pPr>
              <w:pStyle w:val="7"/>
              <w:keepNext w:val="0"/>
              <w:keepLines w:val="0"/>
              <w:pageBreakBefore w:val="0"/>
              <w:widowControl/>
              <w:tabs>
                <w:tab w:val="left" w:pos="208"/>
              </w:tabs>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2"/>
              </w:rPr>
              <w:t>项目负责人</w:t>
            </w:r>
            <w:r>
              <w:rPr>
                <w:rFonts w:hint="eastAsia"/>
                <w:spacing w:val="2"/>
                <w:lang w:eastAsia="zh-CN"/>
              </w:rPr>
              <w:t>和</w:t>
            </w:r>
            <w:r>
              <w:rPr>
                <w:rFonts w:hint="eastAsia"/>
                <w:spacing w:val="2"/>
              </w:rPr>
              <w:t>技术服务团队综合素质</w:t>
            </w:r>
          </w:p>
        </w:tc>
        <w:tc>
          <w:tcPr>
            <w:tcW w:w="11196" w:type="dxa"/>
            <w:vAlign w:val="center"/>
          </w:tcPr>
          <w:p w14:paraId="6A67453C">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项目组结构合理，项目组人员不少于5人，其中：</w:t>
            </w:r>
          </w:p>
          <w:p w14:paraId="4D81EB7F">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cs="宋体"/>
                <w:snapToGrid w:val="0"/>
                <w:color w:val="000000"/>
                <w:spacing w:val="-1"/>
                <w:kern w:val="0"/>
                <w:sz w:val="24"/>
                <w:szCs w:val="24"/>
                <w:lang w:val="en-US" w:eastAsia="zh-CN" w:bidi="ar-SA"/>
              </w:rPr>
              <w:t>1.</w:t>
            </w:r>
            <w:r>
              <w:rPr>
                <w:rFonts w:hint="eastAsia" w:ascii="宋体" w:hAnsi="宋体" w:eastAsia="宋体" w:cs="宋体"/>
                <w:snapToGrid w:val="0"/>
                <w:color w:val="000000"/>
                <w:spacing w:val="-1"/>
                <w:kern w:val="0"/>
                <w:sz w:val="24"/>
                <w:szCs w:val="24"/>
                <w:lang w:val="en-US" w:eastAsia="en-US" w:bidi="ar-SA"/>
              </w:rPr>
              <w:t>项目负责人应具备高级工程师（或高级经济师），</w:t>
            </w:r>
            <w:r>
              <w:rPr>
                <w:rFonts w:hint="eastAsia" w:cs="宋体"/>
                <w:snapToGrid w:val="0"/>
                <w:color w:val="000000"/>
                <w:spacing w:val="-1"/>
                <w:kern w:val="0"/>
                <w:sz w:val="24"/>
                <w:szCs w:val="24"/>
                <w:lang w:val="en-US" w:eastAsia="zh-CN" w:bidi="ar-SA"/>
              </w:rPr>
              <w:t>同时</w:t>
            </w:r>
            <w:r>
              <w:rPr>
                <w:rFonts w:hint="eastAsia" w:ascii="宋体" w:hAnsi="宋体" w:eastAsia="宋体" w:cs="宋体"/>
                <w:snapToGrid w:val="0"/>
                <w:color w:val="000000"/>
                <w:spacing w:val="-1"/>
                <w:kern w:val="0"/>
                <w:sz w:val="24"/>
                <w:szCs w:val="24"/>
                <w:lang w:val="en-US" w:eastAsia="en-US" w:bidi="ar-SA"/>
              </w:rPr>
              <w:t>具有注册咨询工程师(投资)证书，满足得</w:t>
            </w:r>
            <w:r>
              <w:rPr>
                <w:rFonts w:hint="eastAsia" w:cs="宋体"/>
                <w:snapToGrid w:val="0"/>
                <w:color w:val="000000"/>
                <w:spacing w:val="-1"/>
                <w:kern w:val="0"/>
                <w:sz w:val="24"/>
                <w:szCs w:val="24"/>
                <w:lang w:val="en-US" w:eastAsia="zh-CN" w:bidi="ar-SA"/>
              </w:rPr>
              <w:t>10</w:t>
            </w:r>
            <w:r>
              <w:rPr>
                <w:rFonts w:hint="eastAsia" w:ascii="宋体" w:hAnsi="宋体" w:eastAsia="宋体" w:cs="宋体"/>
                <w:snapToGrid w:val="0"/>
                <w:color w:val="000000"/>
                <w:spacing w:val="-1"/>
                <w:kern w:val="0"/>
                <w:sz w:val="24"/>
                <w:szCs w:val="24"/>
                <w:lang w:val="en-US" w:eastAsia="en-US" w:bidi="ar-SA"/>
              </w:rPr>
              <w:t>分，不满足得0分；</w:t>
            </w:r>
          </w:p>
          <w:p w14:paraId="574B9163">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2.</w:t>
            </w:r>
            <w:r>
              <w:rPr>
                <w:rFonts w:hint="eastAsia" w:ascii="宋体" w:hAnsi="宋体" w:eastAsia="宋体" w:cs="宋体"/>
                <w:snapToGrid w:val="0"/>
                <w:color w:val="000000"/>
                <w:spacing w:val="-1"/>
                <w:kern w:val="0"/>
                <w:sz w:val="24"/>
                <w:szCs w:val="24"/>
                <w:lang w:val="en-US" w:eastAsia="en-US" w:bidi="ar-SA"/>
              </w:rPr>
              <w:t>其他技术人员</w:t>
            </w:r>
            <w:r>
              <w:rPr>
                <w:rFonts w:hint="eastAsia" w:cs="宋体"/>
                <w:snapToGrid w:val="0"/>
                <w:color w:val="000000"/>
                <w:spacing w:val="-1"/>
                <w:kern w:val="0"/>
                <w:sz w:val="24"/>
                <w:szCs w:val="24"/>
                <w:lang w:val="en-US" w:eastAsia="zh-CN" w:bidi="ar-SA"/>
              </w:rPr>
              <w:t>分别</w:t>
            </w:r>
            <w:r>
              <w:rPr>
                <w:rFonts w:hint="eastAsia" w:ascii="宋体" w:hAnsi="宋体" w:eastAsia="宋体" w:cs="宋体"/>
                <w:snapToGrid w:val="0"/>
                <w:color w:val="000000"/>
                <w:spacing w:val="-1"/>
                <w:kern w:val="0"/>
                <w:sz w:val="24"/>
                <w:szCs w:val="24"/>
                <w:lang w:val="en-US" w:eastAsia="en-US" w:bidi="ar-SA"/>
              </w:rPr>
              <w:t>具备工程咨询、财务、法律、金融执业证书，</w:t>
            </w:r>
            <w:r>
              <w:rPr>
                <w:rFonts w:hint="eastAsia" w:cs="宋体"/>
                <w:snapToGrid w:val="0"/>
                <w:color w:val="000000"/>
                <w:spacing w:val="-1"/>
                <w:kern w:val="0"/>
                <w:sz w:val="24"/>
                <w:szCs w:val="24"/>
                <w:lang w:val="en-US" w:eastAsia="zh-CN" w:bidi="ar-SA"/>
              </w:rPr>
              <w:t>一人一执业证书，不能兼任。</w:t>
            </w:r>
            <w:r>
              <w:rPr>
                <w:rFonts w:hint="eastAsia" w:ascii="宋体" w:hAnsi="宋体" w:eastAsia="宋体" w:cs="宋体"/>
                <w:snapToGrid w:val="0"/>
                <w:color w:val="000000"/>
                <w:spacing w:val="-1"/>
                <w:kern w:val="0"/>
                <w:sz w:val="24"/>
                <w:szCs w:val="24"/>
                <w:lang w:val="en-US" w:eastAsia="en-US" w:bidi="ar-SA"/>
              </w:rPr>
              <w:t>全部满足得</w:t>
            </w:r>
            <w:r>
              <w:rPr>
                <w:rFonts w:hint="eastAsia" w:cs="宋体"/>
                <w:snapToGrid w:val="0"/>
                <w:color w:val="000000"/>
                <w:spacing w:val="-1"/>
                <w:kern w:val="0"/>
                <w:sz w:val="24"/>
                <w:szCs w:val="24"/>
                <w:lang w:val="en-US" w:eastAsia="zh-CN" w:bidi="ar-SA"/>
              </w:rPr>
              <w:t>20</w:t>
            </w:r>
            <w:r>
              <w:rPr>
                <w:rFonts w:hint="eastAsia" w:ascii="宋体" w:hAnsi="宋体" w:eastAsia="宋体" w:cs="宋体"/>
                <w:snapToGrid w:val="0"/>
                <w:color w:val="000000"/>
                <w:spacing w:val="-1"/>
                <w:kern w:val="0"/>
                <w:sz w:val="24"/>
                <w:szCs w:val="24"/>
                <w:lang w:val="en-US" w:eastAsia="en-US" w:bidi="ar-SA"/>
              </w:rPr>
              <w:t>分，部分满足或不满足的得0分</w:t>
            </w:r>
            <w:r>
              <w:rPr>
                <w:rFonts w:hint="eastAsia" w:cs="宋体"/>
                <w:snapToGrid w:val="0"/>
                <w:color w:val="000000"/>
                <w:spacing w:val="-1"/>
                <w:kern w:val="0"/>
                <w:sz w:val="24"/>
                <w:szCs w:val="24"/>
                <w:lang w:val="en-US" w:eastAsia="zh-CN" w:bidi="ar-SA"/>
              </w:rPr>
              <w:t>。</w:t>
            </w:r>
          </w:p>
          <w:p w14:paraId="34296F8D">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pPr>
            <w:r>
              <w:rPr>
                <w:spacing w:val="-2"/>
              </w:rPr>
              <w:t>注：须提供以上人员相关证明材料的复印件或含二维码的电子证照</w:t>
            </w:r>
            <w:r>
              <w:t>打印件以及近3个月社保证明，复印件或网页打</w:t>
            </w:r>
            <w:r>
              <w:rPr>
                <w:spacing w:val="-1"/>
              </w:rPr>
              <w:t>印件需加盖公章，否则不得分。</w:t>
            </w:r>
          </w:p>
        </w:tc>
        <w:tc>
          <w:tcPr>
            <w:tcW w:w="714" w:type="dxa"/>
            <w:vAlign w:val="center"/>
          </w:tcPr>
          <w:p w14:paraId="36D6DC2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lang w:val="en-US" w:eastAsia="zh-CN"/>
              </w:rPr>
            </w:pPr>
            <w:r>
              <w:rPr>
                <w:rFonts w:hint="eastAsia"/>
                <w:spacing w:val="-4"/>
                <w:lang w:val="en-US" w:eastAsia="zh-CN"/>
              </w:rPr>
              <w:t>30</w:t>
            </w:r>
          </w:p>
        </w:tc>
      </w:tr>
      <w:tr w14:paraId="65899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773" w:type="dxa"/>
            <w:vAlign w:val="center"/>
          </w:tcPr>
          <w:p w14:paraId="48499B1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3</w:t>
            </w:r>
          </w:p>
        </w:tc>
        <w:tc>
          <w:tcPr>
            <w:tcW w:w="1417" w:type="dxa"/>
            <w:vMerge w:val="continue"/>
            <w:tcBorders/>
            <w:vAlign w:val="center"/>
          </w:tcPr>
          <w:p w14:paraId="2D113A9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17" w:type="dxa"/>
            <w:vAlign w:val="center"/>
          </w:tcPr>
          <w:p w14:paraId="3D4B8FFD">
            <w:pPr>
              <w:pStyle w:val="7"/>
              <w:keepNext w:val="0"/>
              <w:keepLines w:val="0"/>
              <w:pageBreakBefore w:val="0"/>
              <w:widowControl/>
              <w:tabs>
                <w:tab w:val="left" w:pos="208"/>
              </w:tabs>
              <w:kinsoku w:val="0"/>
              <w:wordWrap/>
              <w:overflowPunct/>
              <w:topLinePunct w:val="0"/>
              <w:autoSpaceDE w:val="0"/>
              <w:autoSpaceDN w:val="0"/>
              <w:bidi w:val="0"/>
              <w:adjustRightInd w:val="0"/>
              <w:snapToGrid w:val="0"/>
              <w:spacing w:line="240" w:lineRule="auto"/>
              <w:ind w:left="0" w:right="0" w:firstLine="0"/>
              <w:jc w:val="center"/>
              <w:textAlignment w:val="baseline"/>
            </w:pPr>
            <w:r>
              <w:rPr>
                <w:rFonts w:hint="eastAsia"/>
                <w:spacing w:val="2"/>
              </w:rPr>
              <w:t>管理体系认证证书</w:t>
            </w:r>
          </w:p>
        </w:tc>
        <w:tc>
          <w:tcPr>
            <w:tcW w:w="11196" w:type="dxa"/>
            <w:vAlign w:val="center"/>
          </w:tcPr>
          <w:p w14:paraId="365DF7B1">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Chars="0" w:right="0" w:rightChars="0"/>
              <w:jc w:val="left"/>
              <w:textAlignment w:val="baseline"/>
              <w:rPr>
                <w:rFonts w:hint="eastAsia"/>
                <w:spacing w:val="-2"/>
              </w:rPr>
            </w:pPr>
            <w:r>
              <w:rPr>
                <w:rFonts w:hint="eastAsia"/>
                <w:spacing w:val="-2"/>
              </w:rPr>
              <w:t>1</w:t>
            </w:r>
            <w:r>
              <w:rPr>
                <w:rFonts w:hint="eastAsia"/>
                <w:spacing w:val="-2"/>
                <w:lang w:val="en-US" w:eastAsia="zh-CN"/>
              </w:rPr>
              <w:t>.</w:t>
            </w:r>
            <w:r>
              <w:rPr>
                <w:rFonts w:hint="eastAsia"/>
                <w:spacing w:val="-2"/>
              </w:rPr>
              <w:t>具有质量管理体系认证证书，得</w:t>
            </w:r>
            <w:r>
              <w:rPr>
                <w:rFonts w:hint="eastAsia"/>
                <w:spacing w:val="-2"/>
                <w:lang w:val="en-US" w:eastAsia="zh-CN"/>
              </w:rPr>
              <w:t>5</w:t>
            </w:r>
            <w:r>
              <w:rPr>
                <w:rFonts w:hint="eastAsia"/>
                <w:spacing w:val="-2"/>
              </w:rPr>
              <w:t>分；</w:t>
            </w:r>
          </w:p>
          <w:p w14:paraId="53545971">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Chars="0" w:right="0" w:rightChars="0"/>
              <w:jc w:val="left"/>
              <w:textAlignment w:val="baseline"/>
              <w:rPr>
                <w:rFonts w:hint="eastAsia"/>
                <w:spacing w:val="-2"/>
              </w:rPr>
            </w:pPr>
            <w:r>
              <w:rPr>
                <w:rFonts w:hint="eastAsia"/>
                <w:spacing w:val="-2"/>
              </w:rPr>
              <w:t>2</w:t>
            </w:r>
            <w:r>
              <w:rPr>
                <w:rFonts w:hint="eastAsia"/>
                <w:spacing w:val="-2"/>
                <w:lang w:val="en-US" w:eastAsia="zh-CN"/>
              </w:rPr>
              <w:t>.</w:t>
            </w:r>
            <w:r>
              <w:rPr>
                <w:rFonts w:hint="eastAsia"/>
                <w:spacing w:val="-2"/>
              </w:rPr>
              <w:t>具有环境管理体系认证证书，得</w:t>
            </w:r>
            <w:r>
              <w:rPr>
                <w:rFonts w:hint="eastAsia"/>
                <w:spacing w:val="-2"/>
                <w:lang w:val="en-US" w:eastAsia="zh-CN"/>
              </w:rPr>
              <w:t>5</w:t>
            </w:r>
            <w:r>
              <w:rPr>
                <w:rFonts w:hint="eastAsia"/>
                <w:spacing w:val="-2"/>
              </w:rPr>
              <w:t>分；</w:t>
            </w:r>
          </w:p>
          <w:p w14:paraId="76D1071B">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Chars="0" w:right="0" w:rightChars="0"/>
              <w:jc w:val="left"/>
              <w:textAlignment w:val="baseline"/>
              <w:rPr>
                <w:rFonts w:hint="eastAsia"/>
                <w:spacing w:val="-2"/>
              </w:rPr>
            </w:pPr>
            <w:r>
              <w:rPr>
                <w:rFonts w:hint="eastAsia"/>
                <w:spacing w:val="-2"/>
              </w:rPr>
              <w:t>3</w:t>
            </w:r>
            <w:r>
              <w:rPr>
                <w:rFonts w:hint="eastAsia"/>
                <w:spacing w:val="-2"/>
                <w:lang w:val="en-US" w:eastAsia="zh-CN"/>
              </w:rPr>
              <w:t>.</w:t>
            </w:r>
            <w:r>
              <w:rPr>
                <w:rFonts w:hint="eastAsia"/>
                <w:spacing w:val="-2"/>
              </w:rPr>
              <w:t>具有职业健康安全管理体系认证证书，得</w:t>
            </w:r>
            <w:r>
              <w:rPr>
                <w:rFonts w:hint="eastAsia"/>
                <w:spacing w:val="-2"/>
                <w:lang w:val="en-US" w:eastAsia="zh-CN"/>
              </w:rPr>
              <w:t>5</w:t>
            </w:r>
            <w:r>
              <w:rPr>
                <w:rFonts w:hint="eastAsia"/>
                <w:spacing w:val="-2"/>
              </w:rPr>
              <w:t>分；</w:t>
            </w:r>
          </w:p>
          <w:p w14:paraId="29BCA108">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Chars="0" w:right="0" w:rightChars="0"/>
              <w:jc w:val="left"/>
              <w:textAlignment w:val="baseline"/>
              <w:rPr>
                <w:spacing w:val="-1"/>
              </w:rPr>
            </w:pPr>
            <w:r>
              <w:rPr>
                <w:rFonts w:hint="eastAsia"/>
                <w:spacing w:val="-2"/>
              </w:rPr>
              <w:t>注：提供管理体系认证书复印件或扫描件并加盖投标人公章。</w:t>
            </w:r>
          </w:p>
        </w:tc>
        <w:tc>
          <w:tcPr>
            <w:tcW w:w="714" w:type="dxa"/>
            <w:vAlign w:val="center"/>
          </w:tcPr>
          <w:p w14:paraId="45E1F98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lang w:val="en-US" w:eastAsia="zh-CN"/>
              </w:rPr>
            </w:pPr>
            <w:r>
              <w:rPr>
                <w:rFonts w:hint="eastAsia"/>
                <w:lang w:val="en-US" w:eastAsia="zh-CN"/>
              </w:rPr>
              <w:t>15</w:t>
            </w:r>
          </w:p>
        </w:tc>
      </w:tr>
      <w:tr w14:paraId="4FEC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773" w:type="dxa"/>
            <w:vAlign w:val="center"/>
          </w:tcPr>
          <w:p w14:paraId="144D168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t>4</w:t>
            </w:r>
          </w:p>
        </w:tc>
        <w:tc>
          <w:tcPr>
            <w:tcW w:w="1417" w:type="dxa"/>
            <w:vMerge w:val="continue"/>
            <w:tcBorders/>
            <w:vAlign w:val="center"/>
          </w:tcPr>
          <w:p w14:paraId="0F1FE17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p>
        </w:tc>
        <w:tc>
          <w:tcPr>
            <w:tcW w:w="1417" w:type="dxa"/>
            <w:vAlign w:val="center"/>
          </w:tcPr>
          <w:p w14:paraId="19251B0D">
            <w:pPr>
              <w:pStyle w:val="7"/>
              <w:keepNext w:val="0"/>
              <w:keepLines w:val="0"/>
              <w:pageBreakBefore w:val="0"/>
              <w:widowControl/>
              <w:tabs>
                <w:tab w:val="left" w:pos="208"/>
              </w:tabs>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eastAsia="宋体"/>
                <w:lang w:eastAsia="zh-CN"/>
              </w:rPr>
            </w:pPr>
            <w:r>
              <w:rPr>
                <w:rFonts w:hint="eastAsia"/>
                <w:spacing w:val="2"/>
              </w:rPr>
              <w:t>企业业绩</w:t>
            </w:r>
            <w:r>
              <w:rPr>
                <w:rFonts w:hint="eastAsia"/>
                <w:spacing w:val="2"/>
                <w:lang w:eastAsia="zh-CN"/>
              </w:rPr>
              <w:t>和企业荣誉</w:t>
            </w:r>
          </w:p>
        </w:tc>
        <w:tc>
          <w:tcPr>
            <w:tcW w:w="11196" w:type="dxa"/>
            <w:vAlign w:val="center"/>
          </w:tcPr>
          <w:p w14:paraId="42E8C2EB">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rPr>
                <w:spacing w:val="-1"/>
              </w:rPr>
            </w:pPr>
            <w:r>
              <w:rPr>
                <w:rFonts w:ascii="宋体" w:hAnsi="宋体" w:eastAsia="宋体" w:cs="宋体"/>
                <w:snapToGrid w:val="0"/>
                <w:color w:val="000000"/>
                <w:spacing w:val="-1"/>
                <w:kern w:val="0"/>
                <w:sz w:val="24"/>
                <w:szCs w:val="24"/>
                <w:lang w:val="en-US" w:eastAsia="en-US" w:bidi="ar-SA"/>
              </w:rPr>
              <w:t>1.</w:t>
            </w:r>
            <w:r>
              <w:rPr>
                <w:rFonts w:hint="eastAsia"/>
                <w:spacing w:val="-1"/>
              </w:rPr>
              <w:t>自2020年1月1日至今，承接过市政工程雨污分流类可研编制项目的，每项得</w:t>
            </w:r>
            <w:r>
              <w:rPr>
                <w:rFonts w:hint="eastAsia"/>
                <w:spacing w:val="-1"/>
                <w:lang w:val="en-US" w:eastAsia="zh-CN"/>
              </w:rPr>
              <w:t>4</w:t>
            </w:r>
            <w:r>
              <w:rPr>
                <w:rFonts w:hint="eastAsia"/>
                <w:spacing w:val="-1"/>
              </w:rPr>
              <w:t>分，最多</w:t>
            </w:r>
            <w:r>
              <w:rPr>
                <w:rFonts w:hint="eastAsia"/>
                <w:spacing w:val="-1"/>
                <w:lang w:val="en-US" w:eastAsia="zh-CN"/>
              </w:rPr>
              <w:t>2</w:t>
            </w:r>
            <w:r>
              <w:rPr>
                <w:rFonts w:hint="eastAsia"/>
                <w:spacing w:val="-1"/>
              </w:rPr>
              <w:t>0分</w:t>
            </w:r>
            <w:r>
              <w:rPr>
                <w:spacing w:val="-2"/>
              </w:rPr>
              <w:t>。</w:t>
            </w:r>
            <w:r>
              <w:t>注：时间以合同签订时间为准，须提供中标通知书</w:t>
            </w:r>
            <w:r>
              <w:rPr>
                <w:rFonts w:hint="eastAsia"/>
                <w:lang w:val="en-US" w:eastAsia="zh-CN"/>
              </w:rPr>
              <w:t>或</w:t>
            </w:r>
            <w:r>
              <w:t>合同关键页复印件并加盖公章，不提供不得</w:t>
            </w:r>
            <w:r>
              <w:rPr>
                <w:spacing w:val="-1"/>
              </w:rPr>
              <w:t>分。</w:t>
            </w:r>
          </w:p>
          <w:p w14:paraId="29B00E97">
            <w:pPr>
              <w:pStyle w:val="7"/>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baseline"/>
            </w:pPr>
            <w:r>
              <w:rPr>
                <w:rFonts w:ascii="宋体" w:hAnsi="宋体" w:eastAsia="宋体" w:cs="宋体"/>
                <w:snapToGrid w:val="0"/>
                <w:color w:val="000000"/>
                <w:kern w:val="0"/>
                <w:sz w:val="24"/>
                <w:szCs w:val="24"/>
                <w:lang w:val="en-US" w:eastAsia="en-US" w:bidi="ar-SA"/>
              </w:rPr>
              <w:t>2.</w:t>
            </w:r>
            <w:r>
              <w:rPr>
                <w:rFonts w:hint="eastAsia"/>
              </w:rPr>
              <w:t>自2020年1月1日至今，投标人所承接的工程咨询项目获得过相关部门颁发的工程咨询类奖项，省级及以上奖项每项得</w:t>
            </w:r>
            <w:r>
              <w:rPr>
                <w:rFonts w:hint="eastAsia"/>
                <w:lang w:val="en-US" w:eastAsia="zh-CN"/>
              </w:rPr>
              <w:t>3</w:t>
            </w:r>
            <w:r>
              <w:rPr>
                <w:rFonts w:hint="eastAsia"/>
              </w:rPr>
              <w:t>分，市级奖项得1分，其</w:t>
            </w:r>
            <w:bookmarkStart w:id="0" w:name="_GoBack"/>
            <w:bookmarkEnd w:id="0"/>
            <w:r>
              <w:rPr>
                <w:rFonts w:hint="eastAsia"/>
              </w:rPr>
              <w:t>他不得分。此项最多计5个奖项，最高得1</w:t>
            </w:r>
            <w:r>
              <w:rPr>
                <w:rFonts w:hint="eastAsia"/>
                <w:lang w:val="en-US" w:eastAsia="zh-CN"/>
              </w:rPr>
              <w:t>5</w:t>
            </w:r>
            <w:r>
              <w:rPr>
                <w:rFonts w:hint="eastAsia"/>
              </w:rPr>
              <w:t>分</w:t>
            </w:r>
            <w:r>
              <w:rPr>
                <w:spacing w:val="-1"/>
              </w:rPr>
              <w:t>。</w:t>
            </w:r>
            <w:r>
              <w:t>注：需提供相关证书复印件或官方公布信息网页截图，时间以证书颁发时间或网上公布时间为</w:t>
            </w:r>
            <w:r>
              <w:rPr>
                <w:spacing w:val="-1"/>
              </w:rPr>
              <w:t>准。</w:t>
            </w:r>
          </w:p>
        </w:tc>
        <w:tc>
          <w:tcPr>
            <w:tcW w:w="714" w:type="dxa"/>
            <w:vAlign w:val="center"/>
          </w:tcPr>
          <w:p w14:paraId="621ABAC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eastAsia="宋体"/>
                <w:lang w:val="en-US" w:eastAsia="zh-CN"/>
              </w:rPr>
            </w:pPr>
            <w:r>
              <w:rPr>
                <w:rFonts w:hint="eastAsia"/>
                <w:spacing w:val="-4"/>
                <w:lang w:val="en-US" w:eastAsia="zh-CN"/>
              </w:rPr>
              <w:t>35</w:t>
            </w:r>
          </w:p>
        </w:tc>
      </w:tr>
    </w:tbl>
    <w:p w14:paraId="3ED1F827">
      <w:pPr>
        <w:rPr>
          <w:rFonts w:ascii="Arial"/>
          <w:sz w:val="21"/>
        </w:rPr>
      </w:pPr>
    </w:p>
    <w:sectPr>
      <w:pgSz w:w="16960" w:h="12100"/>
      <w:pgMar w:top="1028" w:right="1464" w:bottom="0" w:left="13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仿宋-GB13000">
    <w:panose1 w:val="02000500000000000000"/>
    <w:charset w:val="86"/>
    <w:family w:val="auto"/>
    <w:pitch w:val="default"/>
    <w:sig w:usb0="800002BF" w:usb1="18CF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277ABD"/>
    <w:rsid w:val="0A4E1228"/>
    <w:rsid w:val="1DDB23B0"/>
    <w:rsid w:val="45A2776C"/>
    <w:rsid w:val="6ABF62BF"/>
    <w:rsid w:val="74BFB48B"/>
    <w:rsid w:val="7FCA75E4"/>
    <w:rsid w:val="7FD7CD0E"/>
    <w:rsid w:val="9DEFE6E0"/>
    <w:rsid w:val="AFFFE82D"/>
    <w:rsid w:val="D3BF38F8"/>
    <w:rsid w:val="F6FF56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outlineLvl w:val="0"/>
    </w:pPr>
    <w:rPr>
      <w:bCs/>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853</Words>
  <Characters>893</Characters>
  <TotalTime>14</TotalTime>
  <ScaleCrop>false</ScaleCrop>
  <LinksUpToDate>false</LinksUpToDate>
  <CharactersWithSpaces>914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2025-03-22T17:46:00Z</dcterms:created>
  <dc:creator>cxdcx</dc:creator>
  <cp:lastModifiedBy>春暖花开</cp:lastModifiedBy>
  <dcterms:modified xsi:type="dcterms:W3CDTF">2026-03-31T16:08:44Z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2025-03-20T09:46:47Z</vt:filetime>
  </property>
  <property fmtid="{D5CDD505-2E9C-101B-9397-08002B2CF9AE}" pid="4" name="UsrData">
    <vt:lpwstr>67db7385f7bb070001d76c0cwl</vt:lpwstr>
  </property>
  <property fmtid="{D5CDD505-2E9C-101B-9397-08002B2CF9AE}" pid="5" name="KSOTemplateDocerSaveRecord">
    <vt:lpwstr>eyJoZGlkIjoiZjU3ZDA2NDBiOGZjNmU1NjkyZDYyZDA3NGVkNTMwYmMiLCJ1c2VySWQiOiI1NDk0NTgzMjQifQ==</vt:lpwstr>
  </property>
  <property fmtid="{D5CDD505-2E9C-101B-9397-08002B2CF9AE}" pid="6" name="KSOProductBuildVer">
    <vt:lpwstr>2052-12.8.2.1119</vt:lpwstr>
  </property>
  <property fmtid="{D5CDD505-2E9C-101B-9397-08002B2CF9AE}" pid="7" name="ICV">
    <vt:lpwstr>F2AD8F0CFBCB493C87096F616157F7D0_13</vt:lpwstr>
  </property>
</Properties>
</file>