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E0B" w:rsidRDefault="00C46389">
      <w:pPr>
        <w:snapToGrid w:val="0"/>
        <w:spacing w:line="360" w:lineRule="auto"/>
        <w:jc w:val="center"/>
        <w:rPr>
          <w:rFonts w:ascii="仿宋" w:eastAsia="仿宋" w:hAnsi="仿宋" w:cs="仿宋"/>
          <w:b/>
          <w:sz w:val="44"/>
          <w:szCs w:val="36"/>
        </w:rPr>
      </w:pPr>
      <w:r>
        <w:rPr>
          <w:rFonts w:ascii="仿宋" w:eastAsia="仿宋" w:hAnsi="仿宋" w:cs="仿宋" w:hint="eastAsia"/>
          <w:b/>
          <w:sz w:val="44"/>
          <w:szCs w:val="36"/>
        </w:rPr>
        <w:t>湛江市中心城区风貌提升三年行动方案</w:t>
      </w:r>
    </w:p>
    <w:p w:rsidR="00A96E0B" w:rsidRDefault="00C46389">
      <w:pPr>
        <w:snapToGrid w:val="0"/>
        <w:spacing w:line="360" w:lineRule="auto"/>
        <w:jc w:val="center"/>
        <w:rPr>
          <w:rFonts w:ascii="仿宋" w:eastAsia="仿宋" w:hAnsi="仿宋" w:cs="仿宋"/>
          <w:b/>
          <w:sz w:val="44"/>
          <w:szCs w:val="36"/>
        </w:rPr>
      </w:pPr>
      <w:r>
        <w:rPr>
          <w:rFonts w:ascii="仿宋" w:eastAsia="仿宋" w:hAnsi="仿宋" w:cs="仿宋" w:hint="eastAsia"/>
          <w:b/>
          <w:sz w:val="44"/>
          <w:szCs w:val="36"/>
        </w:rPr>
        <w:t>项目需求</w:t>
      </w:r>
    </w:p>
    <w:p w:rsidR="00A96E0B" w:rsidRDefault="00C46389">
      <w:pPr>
        <w:snapToGrid w:val="0"/>
        <w:spacing w:beforeLines="100" w:before="312" w:afterLines="50" w:after="156" w:line="360" w:lineRule="auto"/>
        <w:rPr>
          <w:rFonts w:ascii="仿宋" w:eastAsia="仿宋" w:hAnsi="仿宋" w:cs="仿宋"/>
          <w:b/>
          <w:sz w:val="32"/>
          <w:szCs w:val="32"/>
        </w:rPr>
      </w:pPr>
      <w:r>
        <w:rPr>
          <w:rFonts w:ascii="仿宋" w:eastAsia="仿宋" w:hAnsi="仿宋" w:cs="仿宋" w:hint="eastAsia"/>
          <w:b/>
          <w:sz w:val="32"/>
          <w:szCs w:val="32"/>
        </w:rPr>
        <w:t>一、工作背景</w:t>
      </w:r>
    </w:p>
    <w:p w:rsidR="00A96E0B" w:rsidRDefault="00C46389">
      <w:pPr>
        <w:snapToGrid w:val="0"/>
        <w:spacing w:afterLines="50" w:after="156" w:line="360" w:lineRule="auto"/>
        <w:ind w:firstLineChars="200" w:firstLine="560"/>
        <w:rPr>
          <w:rFonts w:ascii="仿宋" w:eastAsia="仿宋" w:hAnsi="仿宋" w:cs="仿宋"/>
          <w:sz w:val="28"/>
          <w:szCs w:val="28"/>
        </w:rPr>
      </w:pPr>
      <w:r>
        <w:rPr>
          <w:rFonts w:ascii="仿宋" w:eastAsia="仿宋" w:hAnsi="仿宋" w:cs="仿宋" w:hint="eastAsia"/>
          <w:sz w:val="28"/>
          <w:szCs w:val="28"/>
        </w:rPr>
        <w:t>湛江城市本底资源丰厚，“一湾两岸”现代化滨海城市格局已初具雏形，是省内最具备打造地中海风情的城市。在城市快速建设发展过程中，湛江中心城区风貌对比国内、国际知名的滨海城市，还存在“面子”</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靓、“里子”不实、特色不显等突出问题。风貌规划不系统、景观碎片化、辨识度不足、对外迎宾</w:t>
      </w:r>
      <w:proofErr w:type="gramStart"/>
      <w:r>
        <w:rPr>
          <w:rFonts w:ascii="仿宋" w:eastAsia="仿宋" w:hAnsi="仿宋" w:cs="仿宋" w:hint="eastAsia"/>
          <w:sz w:val="28"/>
          <w:szCs w:val="28"/>
        </w:rPr>
        <w:t>道整体</w:t>
      </w:r>
      <w:proofErr w:type="gramEnd"/>
      <w:r>
        <w:rPr>
          <w:rFonts w:ascii="仿宋" w:eastAsia="仿宋" w:hAnsi="仿宋" w:cs="仿宋" w:hint="eastAsia"/>
          <w:sz w:val="28"/>
          <w:szCs w:val="28"/>
        </w:rPr>
        <w:t>风貌水平不高、老城街区景观品相有待提升、城区色系杂乱无章等，城市形象不够独特深刻。</w:t>
      </w:r>
    </w:p>
    <w:p w:rsidR="00A96E0B" w:rsidRDefault="00C46389">
      <w:pPr>
        <w:snapToGrid w:val="0"/>
        <w:spacing w:afterLines="50" w:after="156"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3月19日市委书记余钢同志在湛江市中心城区风貌提升工作会议的工作部署，会议要求湛江中心城区5个行政区聚焦“四个圈层”提升风貌层次：以“现代沿海”为主题打造第一圈层，着力打造现代化海洋城市的典范；以“异乡风情”为主题打造第二圈层，重点在中心城区打造地中海风情、法式风情等；以“历史肌理”为主题打造第三圈层，保留历史城区风情地貌；以“田园风光”为主题打造第四圈层，建好“城市后花园”。加强统筹谋划，突出品质优化，彰显特色文化，推进精细管理，强化组织保障，编制湛江市中心城区风貌提升三年行动方案。会议明确湛江应突出功能品质优化，提升城市宜</w:t>
      </w:r>
      <w:proofErr w:type="gramStart"/>
      <w:r>
        <w:rPr>
          <w:rFonts w:ascii="仿宋" w:eastAsia="仿宋" w:hAnsi="仿宋" w:cs="仿宋" w:hint="eastAsia"/>
          <w:sz w:val="28"/>
          <w:szCs w:val="28"/>
        </w:rPr>
        <w:t>居宜业</w:t>
      </w:r>
      <w:proofErr w:type="gramEnd"/>
      <w:r>
        <w:rPr>
          <w:rFonts w:ascii="仿宋" w:eastAsia="仿宋" w:hAnsi="仿宋" w:cs="仿宋" w:hint="eastAsia"/>
          <w:sz w:val="28"/>
          <w:szCs w:val="28"/>
        </w:rPr>
        <w:t>水平，聚焦投资者关心关注的城市生活感受，完善交通路网建设，扩展绿色生态空间，优化公共服务设施，加快补齐设施短板，持续完善服务配套。要突出特色文化挖掘，厚</w:t>
      </w:r>
      <w:proofErr w:type="gramStart"/>
      <w:r>
        <w:rPr>
          <w:rFonts w:ascii="仿宋" w:eastAsia="仿宋" w:hAnsi="仿宋" w:cs="仿宋" w:hint="eastAsia"/>
          <w:sz w:val="28"/>
          <w:szCs w:val="28"/>
        </w:rPr>
        <w:t>植城市</w:t>
      </w:r>
      <w:proofErr w:type="gramEnd"/>
      <w:r>
        <w:rPr>
          <w:rFonts w:ascii="仿宋" w:eastAsia="仿宋" w:hAnsi="仿宋" w:cs="仿宋" w:hint="eastAsia"/>
          <w:sz w:val="28"/>
          <w:szCs w:val="28"/>
        </w:rPr>
        <w:t>文化底蕴，打造特色文化品牌，发展</w:t>
      </w:r>
      <w:proofErr w:type="gramStart"/>
      <w:r>
        <w:rPr>
          <w:rFonts w:ascii="仿宋" w:eastAsia="仿宋" w:hAnsi="仿宋" w:cs="仿宋" w:hint="eastAsia"/>
          <w:sz w:val="28"/>
          <w:szCs w:val="28"/>
        </w:rPr>
        <w:t>文旅融合业</w:t>
      </w:r>
      <w:proofErr w:type="gramEnd"/>
      <w:r>
        <w:rPr>
          <w:rFonts w:ascii="仿宋" w:eastAsia="仿宋" w:hAnsi="仿宋" w:cs="仿宋" w:hint="eastAsia"/>
          <w:sz w:val="28"/>
          <w:szCs w:val="28"/>
        </w:rPr>
        <w:t>态，推动社会文明提升，让城市风貌进</w:t>
      </w:r>
      <w:r>
        <w:rPr>
          <w:rFonts w:ascii="仿宋" w:eastAsia="仿宋" w:hAnsi="仿宋" w:cs="仿宋" w:hint="eastAsia"/>
          <w:sz w:val="28"/>
          <w:szCs w:val="28"/>
        </w:rPr>
        <w:lastRenderedPageBreak/>
        <w:t>一步彰</w:t>
      </w:r>
      <w:proofErr w:type="gramStart"/>
      <w:r>
        <w:rPr>
          <w:rFonts w:ascii="仿宋" w:eastAsia="仿宋" w:hAnsi="仿宋" w:cs="仿宋" w:hint="eastAsia"/>
          <w:sz w:val="28"/>
          <w:szCs w:val="28"/>
        </w:rPr>
        <w:t>显文化</w:t>
      </w:r>
      <w:proofErr w:type="gramEnd"/>
      <w:r>
        <w:rPr>
          <w:rFonts w:ascii="仿宋" w:eastAsia="仿宋" w:hAnsi="仿宋" w:cs="仿宋" w:hint="eastAsia"/>
          <w:sz w:val="28"/>
          <w:szCs w:val="28"/>
        </w:rPr>
        <w:t>魅力。</w:t>
      </w:r>
    </w:p>
    <w:p w:rsidR="00A96E0B" w:rsidRDefault="00C46389">
      <w:pPr>
        <w:snapToGrid w:val="0"/>
        <w:spacing w:afterLines="50" w:after="156" w:line="360" w:lineRule="auto"/>
        <w:ind w:firstLineChars="200" w:firstLine="560"/>
        <w:rPr>
          <w:rFonts w:ascii="仿宋" w:eastAsia="仿宋" w:hAnsi="仿宋" w:cs="仿宋"/>
          <w:sz w:val="28"/>
          <w:szCs w:val="28"/>
        </w:rPr>
      </w:pPr>
      <w:r>
        <w:rPr>
          <w:rFonts w:ascii="仿宋" w:eastAsia="仿宋" w:hAnsi="仿宋" w:cs="仿宋" w:hint="eastAsia"/>
          <w:sz w:val="28"/>
          <w:szCs w:val="28"/>
        </w:rPr>
        <w:t>中心城区风貌提升是一项系统工程，需统筹长远谋划和短期建设、政府主导和社会参与等多个工作层面，以市级牵头、区级参与为总体架构，引导企业等社会力量积极参与项目投资、建设和运营，确保中心城区风貌提升取得实效。</w:t>
      </w:r>
    </w:p>
    <w:p w:rsidR="00A96E0B" w:rsidRDefault="00C46389">
      <w:pPr>
        <w:numPr>
          <w:ilvl w:val="0"/>
          <w:numId w:val="1"/>
        </w:numPr>
        <w:snapToGrid w:val="0"/>
        <w:spacing w:beforeLines="100" w:before="312" w:afterLines="50" w:after="156" w:line="360" w:lineRule="auto"/>
        <w:rPr>
          <w:rFonts w:ascii="仿宋" w:eastAsia="仿宋" w:hAnsi="仿宋" w:cs="仿宋"/>
          <w:b/>
          <w:sz w:val="32"/>
          <w:szCs w:val="32"/>
        </w:rPr>
      </w:pPr>
      <w:r>
        <w:rPr>
          <w:rFonts w:ascii="仿宋" w:eastAsia="仿宋" w:hAnsi="仿宋" w:cs="仿宋" w:hint="eastAsia"/>
          <w:b/>
          <w:sz w:val="32"/>
          <w:szCs w:val="32"/>
        </w:rPr>
        <w:t>工作范围</w:t>
      </w:r>
    </w:p>
    <w:p w:rsidR="00A96E0B" w:rsidRDefault="00C46389">
      <w:pPr>
        <w:snapToGrid w:val="0"/>
        <w:spacing w:afterLines="50" w:after="156" w:line="360" w:lineRule="auto"/>
        <w:ind w:firstLineChars="200" w:firstLine="560"/>
        <w:jc w:val="center"/>
        <w:rPr>
          <w:rFonts w:ascii="仿宋" w:eastAsia="仿宋" w:hAnsi="仿宋" w:cs="仿宋"/>
          <w:sz w:val="18"/>
          <w:szCs w:val="18"/>
        </w:rPr>
      </w:pPr>
      <w:r>
        <w:rPr>
          <w:rFonts w:ascii="仿宋" w:eastAsia="仿宋" w:hAnsi="仿宋" w:cs="仿宋" w:hint="eastAsia"/>
          <w:sz w:val="28"/>
          <w:szCs w:val="28"/>
        </w:rPr>
        <w:t>风貌提升整体研究以湛江市中心城区为整体工作范围，包括</w:t>
      </w:r>
      <w:proofErr w:type="gramStart"/>
      <w:r>
        <w:rPr>
          <w:rFonts w:ascii="仿宋" w:eastAsia="仿宋" w:hAnsi="仿宋" w:cs="仿宋" w:hint="eastAsia"/>
          <w:sz w:val="28"/>
          <w:szCs w:val="28"/>
        </w:rPr>
        <w:t>赤</w:t>
      </w:r>
      <w:proofErr w:type="gramEnd"/>
      <w:r>
        <w:rPr>
          <w:rFonts w:ascii="仿宋" w:eastAsia="仿宋" w:hAnsi="仿宋" w:cs="仿宋" w:hint="eastAsia"/>
          <w:sz w:val="28"/>
          <w:szCs w:val="28"/>
        </w:rPr>
        <w:t>坎区全域以及</w:t>
      </w:r>
      <w:proofErr w:type="gramStart"/>
      <w:r>
        <w:rPr>
          <w:rFonts w:ascii="仿宋" w:eastAsia="仿宋" w:hAnsi="仿宋" w:cs="仿宋" w:hint="eastAsia"/>
          <w:sz w:val="28"/>
          <w:szCs w:val="28"/>
        </w:rPr>
        <w:t>霞</w:t>
      </w:r>
      <w:proofErr w:type="gramEnd"/>
      <w:r>
        <w:rPr>
          <w:rFonts w:ascii="仿宋" w:eastAsia="仿宋" w:hAnsi="仿宋" w:cs="仿宋" w:hint="eastAsia"/>
          <w:sz w:val="28"/>
          <w:szCs w:val="28"/>
        </w:rPr>
        <w:t>山区、湛江经济技术开发区、麻章区、坡头区部分地区，总面积775.97平方公里。其中建成区范围113.11平方公里。</w:t>
      </w:r>
      <w:r>
        <w:rPr>
          <w:rFonts w:ascii="仿宋" w:eastAsia="仿宋" w:hAnsi="仿宋" w:cs="仿宋" w:hint="eastAsia"/>
          <w:noProof/>
        </w:rPr>
        <w:drawing>
          <wp:inline distT="0" distB="0" distL="114300" distR="114300">
            <wp:extent cx="3674110" cy="4058920"/>
            <wp:effectExtent l="0" t="0" r="2540"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rcRect t="9698" b="4563"/>
                    <a:stretch>
                      <a:fillRect/>
                    </a:stretch>
                  </pic:blipFill>
                  <pic:spPr>
                    <a:xfrm>
                      <a:off x="0" y="0"/>
                      <a:ext cx="3674110" cy="4058920"/>
                    </a:xfrm>
                    <a:prstGeom prst="rect">
                      <a:avLst/>
                    </a:prstGeom>
                    <a:noFill/>
                    <a:ln>
                      <a:noFill/>
                    </a:ln>
                  </pic:spPr>
                </pic:pic>
              </a:graphicData>
            </a:graphic>
          </wp:inline>
        </w:drawing>
      </w:r>
    </w:p>
    <w:p w:rsidR="00A96E0B" w:rsidRDefault="00C46389">
      <w:pPr>
        <w:numPr>
          <w:ilvl w:val="0"/>
          <w:numId w:val="1"/>
        </w:numPr>
        <w:snapToGrid w:val="0"/>
        <w:spacing w:beforeLines="100" w:before="312" w:afterLines="50" w:after="156" w:line="360" w:lineRule="auto"/>
        <w:rPr>
          <w:rFonts w:ascii="仿宋" w:eastAsia="仿宋" w:hAnsi="仿宋" w:cs="仿宋"/>
          <w:b/>
          <w:sz w:val="32"/>
          <w:szCs w:val="32"/>
        </w:rPr>
      </w:pPr>
      <w:r>
        <w:rPr>
          <w:rFonts w:ascii="仿宋" w:eastAsia="仿宋" w:hAnsi="仿宋" w:cs="仿宋" w:hint="eastAsia"/>
          <w:b/>
          <w:sz w:val="32"/>
          <w:szCs w:val="32"/>
        </w:rPr>
        <w:t>工作目标</w:t>
      </w:r>
    </w:p>
    <w:p w:rsidR="00A96E0B" w:rsidRDefault="00C46389">
      <w:pPr>
        <w:snapToGrid w:val="0"/>
        <w:spacing w:afterLines="50" w:after="156" w:line="360" w:lineRule="auto"/>
        <w:ind w:firstLineChars="200" w:firstLine="560"/>
        <w:rPr>
          <w:rFonts w:ascii="仿宋" w:eastAsia="仿宋" w:hAnsi="仿宋" w:cs="仿宋"/>
          <w:b/>
          <w:sz w:val="32"/>
          <w:szCs w:val="32"/>
        </w:rPr>
      </w:pPr>
      <w:r>
        <w:rPr>
          <w:rFonts w:ascii="仿宋" w:eastAsia="仿宋" w:hAnsi="仿宋" w:cs="仿宋" w:hint="eastAsia"/>
          <w:sz w:val="28"/>
          <w:szCs w:val="28"/>
        </w:rPr>
        <w:t>本阶段旨在通过体系性梳理，形成面向实施的三年行动项目清单</w:t>
      </w:r>
      <w:r>
        <w:rPr>
          <w:rFonts w:ascii="仿宋" w:eastAsia="仿宋" w:hAnsi="仿宋" w:cs="仿宋" w:hint="eastAsia"/>
          <w:sz w:val="28"/>
          <w:szCs w:val="28"/>
        </w:rPr>
        <w:lastRenderedPageBreak/>
        <w:t>和时序安排。围绕城区环境、服务、交通三大领域聚力提升，努力实现一年“立杆”出效果、两年“幻彩”展新颜、三年“完形”</w:t>
      </w:r>
      <w:proofErr w:type="gramStart"/>
      <w:r>
        <w:rPr>
          <w:rFonts w:ascii="仿宋" w:eastAsia="仿宋" w:hAnsi="仿宋" w:cs="仿宋" w:hint="eastAsia"/>
          <w:sz w:val="28"/>
          <w:szCs w:val="28"/>
        </w:rPr>
        <w:t>塑</w:t>
      </w:r>
      <w:proofErr w:type="gramEnd"/>
      <w:r>
        <w:rPr>
          <w:rFonts w:ascii="仿宋" w:eastAsia="仿宋" w:hAnsi="仿宋" w:cs="仿宋" w:hint="eastAsia"/>
          <w:sz w:val="28"/>
          <w:szCs w:val="28"/>
        </w:rPr>
        <w:t>品牌的总目标，推动中心城区风貌品质提升。</w:t>
      </w:r>
    </w:p>
    <w:p w:rsidR="00A96E0B" w:rsidRDefault="00C46389">
      <w:pPr>
        <w:numPr>
          <w:ilvl w:val="0"/>
          <w:numId w:val="1"/>
        </w:numPr>
        <w:snapToGrid w:val="0"/>
        <w:spacing w:beforeLines="100" w:before="312" w:afterLines="50" w:after="156" w:line="360" w:lineRule="auto"/>
        <w:rPr>
          <w:rFonts w:ascii="仿宋" w:eastAsia="仿宋" w:hAnsi="仿宋" w:cs="仿宋"/>
          <w:b/>
          <w:sz w:val="32"/>
          <w:szCs w:val="32"/>
        </w:rPr>
      </w:pPr>
      <w:r>
        <w:rPr>
          <w:rFonts w:ascii="仿宋" w:eastAsia="仿宋" w:hAnsi="仿宋" w:cs="仿宋" w:hint="eastAsia"/>
          <w:b/>
          <w:sz w:val="32"/>
          <w:szCs w:val="32"/>
        </w:rPr>
        <w:t>工作内容</w:t>
      </w:r>
    </w:p>
    <w:p w:rsidR="00A96E0B" w:rsidRDefault="00C46389">
      <w:pPr>
        <w:snapToGrid w:val="0"/>
        <w:spacing w:beforeLines="100" w:before="312" w:afterLines="50" w:after="156" w:line="360" w:lineRule="auto"/>
        <w:ind w:firstLineChars="200" w:firstLine="560"/>
        <w:rPr>
          <w:rFonts w:ascii="仿宋" w:eastAsia="仿宋" w:hAnsi="仿宋" w:cs="仿宋"/>
          <w:sz w:val="28"/>
          <w:szCs w:val="28"/>
        </w:rPr>
      </w:pPr>
      <w:r>
        <w:rPr>
          <w:rFonts w:ascii="仿宋" w:eastAsia="仿宋" w:hAnsi="仿宋" w:cs="仿宋" w:hint="eastAsia"/>
          <w:sz w:val="28"/>
          <w:szCs w:val="28"/>
        </w:rPr>
        <w:t>本次工作主要内容分为以下</w:t>
      </w:r>
      <w:r w:rsidR="0097254A">
        <w:rPr>
          <w:rFonts w:ascii="仿宋" w:eastAsia="仿宋" w:hAnsi="仿宋" w:cs="仿宋" w:hint="eastAsia"/>
          <w:sz w:val="28"/>
          <w:szCs w:val="28"/>
        </w:rPr>
        <w:t>四</w:t>
      </w:r>
      <w:r>
        <w:rPr>
          <w:rFonts w:ascii="仿宋" w:eastAsia="仿宋" w:hAnsi="仿宋" w:cs="仿宋" w:hint="eastAsia"/>
          <w:sz w:val="28"/>
          <w:szCs w:val="28"/>
        </w:rPr>
        <w:t>个部分：</w:t>
      </w:r>
    </w:p>
    <w:p w:rsidR="00A96E0B" w:rsidRDefault="00C46389">
      <w:pPr>
        <w:numPr>
          <w:ilvl w:val="0"/>
          <w:numId w:val="2"/>
        </w:numPr>
        <w:spacing w:line="360" w:lineRule="auto"/>
        <w:rPr>
          <w:rFonts w:ascii="仿宋" w:eastAsia="仿宋" w:hAnsi="仿宋"/>
          <w:sz w:val="28"/>
          <w:szCs w:val="28"/>
        </w:rPr>
      </w:pPr>
      <w:r>
        <w:rPr>
          <w:rFonts w:ascii="仿宋" w:eastAsia="仿宋" w:hAnsi="仿宋"/>
          <w:b/>
          <w:bCs/>
          <w:sz w:val="28"/>
          <w:szCs w:val="28"/>
        </w:rPr>
        <w:t>基础调研与</w:t>
      </w:r>
      <w:r>
        <w:rPr>
          <w:rFonts w:ascii="仿宋" w:eastAsia="仿宋" w:hAnsi="仿宋" w:hint="eastAsia"/>
          <w:b/>
          <w:bCs/>
          <w:sz w:val="28"/>
          <w:szCs w:val="28"/>
        </w:rPr>
        <w:t>现状风貌短板识别</w:t>
      </w:r>
    </w:p>
    <w:p w:rsidR="00A96E0B" w:rsidRDefault="00C46389">
      <w:pPr>
        <w:numPr>
          <w:ilvl w:val="1"/>
          <w:numId w:val="3"/>
        </w:numPr>
        <w:spacing w:line="360" w:lineRule="auto"/>
        <w:rPr>
          <w:rFonts w:ascii="仿宋" w:eastAsia="仿宋" w:hAnsi="仿宋"/>
          <w:sz w:val="28"/>
          <w:szCs w:val="28"/>
        </w:rPr>
      </w:pPr>
      <w:r>
        <w:rPr>
          <w:rFonts w:ascii="仿宋" w:eastAsia="仿宋" w:hAnsi="仿宋" w:hint="eastAsia"/>
          <w:sz w:val="28"/>
          <w:szCs w:val="28"/>
        </w:rPr>
        <w:t>对中心城区现状</w:t>
      </w:r>
      <w:r>
        <w:rPr>
          <w:rFonts w:ascii="仿宋" w:eastAsia="仿宋" w:hAnsi="仿宋"/>
          <w:sz w:val="28"/>
          <w:szCs w:val="28"/>
        </w:rPr>
        <w:t>城市空间形态、建筑风格、公共空间、交通系统等现状</w:t>
      </w:r>
      <w:r>
        <w:rPr>
          <w:rFonts w:ascii="仿宋" w:eastAsia="仿宋" w:hAnsi="仿宋" w:hint="eastAsia"/>
          <w:sz w:val="28"/>
          <w:szCs w:val="28"/>
        </w:rPr>
        <w:t>开展</w:t>
      </w:r>
      <w:r>
        <w:rPr>
          <w:rFonts w:ascii="仿宋" w:eastAsia="仿宋" w:hAnsi="仿宋"/>
          <w:sz w:val="28"/>
          <w:szCs w:val="28"/>
        </w:rPr>
        <w:t>普查</w:t>
      </w:r>
      <w:r>
        <w:rPr>
          <w:rFonts w:ascii="仿宋" w:eastAsia="仿宋" w:hAnsi="仿宋" w:hint="eastAsia"/>
          <w:sz w:val="28"/>
          <w:szCs w:val="28"/>
        </w:rPr>
        <w:t>，获取最新的城市风貌资料，形成现状风貌调研报告；</w:t>
      </w:r>
    </w:p>
    <w:p w:rsidR="00A96E0B" w:rsidRDefault="00C46389">
      <w:pPr>
        <w:numPr>
          <w:ilvl w:val="1"/>
          <w:numId w:val="3"/>
        </w:numPr>
        <w:spacing w:line="360" w:lineRule="auto"/>
        <w:rPr>
          <w:rFonts w:ascii="仿宋" w:eastAsia="仿宋" w:hAnsi="仿宋"/>
          <w:sz w:val="28"/>
          <w:szCs w:val="28"/>
        </w:rPr>
      </w:pPr>
      <w:r>
        <w:rPr>
          <w:rFonts w:ascii="仿宋" w:eastAsia="仿宋" w:hAnsi="仿宋" w:hint="eastAsia"/>
          <w:sz w:val="28"/>
          <w:szCs w:val="28"/>
        </w:rPr>
        <w:t>以湛江市国土空间总体规划市域风貌总体格局为基础，</w:t>
      </w:r>
      <w:r>
        <w:rPr>
          <w:rFonts w:ascii="仿宋" w:eastAsia="仿宋" w:hAnsi="仿宋"/>
          <w:sz w:val="28"/>
          <w:szCs w:val="28"/>
        </w:rPr>
        <w:t>分析风貌冲突区域</w:t>
      </w:r>
      <w:r>
        <w:rPr>
          <w:rFonts w:ascii="仿宋" w:eastAsia="仿宋" w:hAnsi="仿宋" w:hint="eastAsia"/>
          <w:sz w:val="28"/>
          <w:szCs w:val="28"/>
        </w:rPr>
        <w:t>或冲突点，明确风貌提升空间。</w:t>
      </w:r>
    </w:p>
    <w:p w:rsidR="00A96E0B" w:rsidRDefault="00C46389">
      <w:pPr>
        <w:pStyle w:val="ab"/>
        <w:numPr>
          <w:ilvl w:val="0"/>
          <w:numId w:val="2"/>
        </w:numPr>
        <w:spacing w:line="360" w:lineRule="auto"/>
        <w:ind w:firstLineChars="0"/>
        <w:contextualSpacing/>
        <w:rPr>
          <w:rFonts w:ascii="仿宋" w:eastAsia="仿宋" w:hAnsi="仿宋"/>
          <w:b/>
          <w:bCs/>
          <w:sz w:val="28"/>
          <w:szCs w:val="28"/>
        </w:rPr>
      </w:pPr>
      <w:r>
        <w:rPr>
          <w:rFonts w:ascii="仿宋" w:eastAsia="仿宋" w:hAnsi="仿宋" w:hint="eastAsia"/>
          <w:b/>
          <w:bCs/>
          <w:sz w:val="28"/>
          <w:szCs w:val="28"/>
        </w:rPr>
        <w:t>风貌提升</w:t>
      </w:r>
      <w:r>
        <w:rPr>
          <w:rFonts w:ascii="仿宋" w:eastAsia="仿宋" w:hAnsi="仿宋"/>
          <w:b/>
          <w:bCs/>
          <w:sz w:val="28"/>
          <w:szCs w:val="28"/>
        </w:rPr>
        <w:t>目标</w:t>
      </w:r>
      <w:r>
        <w:rPr>
          <w:rFonts w:ascii="仿宋" w:eastAsia="仿宋" w:hAnsi="仿宋" w:hint="eastAsia"/>
          <w:b/>
          <w:bCs/>
          <w:sz w:val="28"/>
          <w:szCs w:val="28"/>
        </w:rPr>
        <w:t>与定位</w:t>
      </w:r>
    </w:p>
    <w:p w:rsidR="00A96E0B" w:rsidRDefault="00C46389">
      <w:pPr>
        <w:numPr>
          <w:ilvl w:val="1"/>
          <w:numId w:val="5"/>
        </w:numPr>
        <w:spacing w:line="360" w:lineRule="auto"/>
        <w:rPr>
          <w:rFonts w:ascii="仿宋" w:eastAsia="仿宋" w:hAnsi="仿宋"/>
          <w:sz w:val="28"/>
          <w:szCs w:val="28"/>
        </w:rPr>
      </w:pPr>
      <w:r>
        <w:rPr>
          <w:rFonts w:ascii="仿宋" w:eastAsia="仿宋" w:hAnsi="仿宋" w:hint="eastAsia"/>
          <w:sz w:val="28"/>
          <w:szCs w:val="28"/>
        </w:rPr>
        <w:t>针对各圈层价值定位和各区不同的空间特性及职能定位，识别独具湛江城市特色的风貌管控片区，</w:t>
      </w:r>
      <w:r>
        <w:rPr>
          <w:rFonts w:ascii="仿宋" w:eastAsia="仿宋" w:hAnsi="仿宋"/>
          <w:sz w:val="28"/>
          <w:szCs w:val="28"/>
        </w:rPr>
        <w:t>制定</w:t>
      </w:r>
      <w:r>
        <w:rPr>
          <w:rFonts w:ascii="仿宋" w:eastAsia="仿宋" w:hAnsi="仿宋" w:hint="eastAsia"/>
          <w:sz w:val="28"/>
          <w:szCs w:val="28"/>
        </w:rPr>
        <w:t>差异化的城市风貌提升整体</w:t>
      </w:r>
      <w:r>
        <w:rPr>
          <w:rFonts w:ascii="仿宋" w:eastAsia="仿宋" w:hAnsi="仿宋"/>
          <w:sz w:val="28"/>
          <w:szCs w:val="28"/>
        </w:rPr>
        <w:t>目标</w:t>
      </w:r>
      <w:r>
        <w:rPr>
          <w:rFonts w:ascii="仿宋" w:eastAsia="仿宋" w:hAnsi="仿宋" w:hint="eastAsia"/>
          <w:sz w:val="28"/>
          <w:szCs w:val="28"/>
        </w:rPr>
        <w:t>和定位。</w:t>
      </w:r>
      <w:bookmarkStart w:id="0" w:name="_GoBack"/>
      <w:bookmarkEnd w:id="0"/>
    </w:p>
    <w:p w:rsidR="00A96E0B" w:rsidRDefault="00C46389">
      <w:pPr>
        <w:pStyle w:val="ab"/>
        <w:numPr>
          <w:ilvl w:val="0"/>
          <w:numId w:val="2"/>
        </w:numPr>
        <w:tabs>
          <w:tab w:val="clear" w:pos="720"/>
        </w:tabs>
        <w:spacing w:line="360" w:lineRule="auto"/>
        <w:ind w:firstLineChars="0"/>
        <w:contextualSpacing/>
        <w:rPr>
          <w:rFonts w:ascii="仿宋" w:eastAsia="仿宋" w:hAnsi="仿宋"/>
          <w:b/>
          <w:bCs/>
          <w:sz w:val="28"/>
          <w:szCs w:val="28"/>
        </w:rPr>
      </w:pPr>
      <w:r>
        <w:rPr>
          <w:rFonts w:ascii="仿宋" w:eastAsia="仿宋" w:hAnsi="仿宋" w:hint="eastAsia"/>
          <w:b/>
          <w:bCs/>
          <w:sz w:val="28"/>
          <w:szCs w:val="28"/>
        </w:rPr>
        <w:t>项目筛选及谋划</w:t>
      </w:r>
    </w:p>
    <w:p w:rsidR="00A96E0B" w:rsidRDefault="00C46389">
      <w:pPr>
        <w:numPr>
          <w:ilvl w:val="1"/>
          <w:numId w:val="5"/>
        </w:numPr>
        <w:spacing w:line="360" w:lineRule="auto"/>
        <w:rPr>
          <w:rFonts w:ascii="仿宋" w:eastAsia="仿宋" w:hAnsi="仿宋"/>
          <w:sz w:val="28"/>
          <w:szCs w:val="28"/>
        </w:rPr>
      </w:pPr>
      <w:r>
        <w:rPr>
          <w:rFonts w:ascii="仿宋" w:eastAsia="仿宋" w:hAnsi="仿宋" w:hint="eastAsia"/>
          <w:sz w:val="28"/>
          <w:szCs w:val="28"/>
        </w:rPr>
        <w:t>以重点风貌提升区域为依托，从项目关键性、时效性、经济性等多个维度出发，对各区当前正在推进及今后一段时间</w:t>
      </w:r>
      <w:proofErr w:type="gramStart"/>
      <w:r>
        <w:rPr>
          <w:rFonts w:ascii="仿宋" w:eastAsia="仿宋" w:hAnsi="仿宋" w:hint="eastAsia"/>
          <w:sz w:val="28"/>
          <w:szCs w:val="28"/>
        </w:rPr>
        <w:t>拟推进</w:t>
      </w:r>
      <w:proofErr w:type="gramEnd"/>
      <w:r>
        <w:rPr>
          <w:rFonts w:ascii="仿宋" w:eastAsia="仿宋" w:hAnsi="仿宋" w:hint="eastAsia"/>
          <w:sz w:val="28"/>
          <w:szCs w:val="28"/>
        </w:rPr>
        <w:t>城市风貌提升相关项目进行筛选，以“先治理、再提升”为原则，优先关注城市治理层面的风貌短板问题，将代表性的治理类项目纳入项目清单，再聚焦对</w:t>
      </w:r>
      <w:r>
        <w:rPr>
          <w:rFonts w:ascii="仿宋" w:eastAsia="仿宋" w:hAnsi="仿宋" w:hint="eastAsia"/>
          <w:sz w:val="28"/>
          <w:szCs w:val="28"/>
        </w:rPr>
        <w:lastRenderedPageBreak/>
        <w:t>城市风貌提升作用明显的建设改造类项目，同时结合“投-建-营一体化”的理念，适当增补并策划新项目，将现状风貌存在的问题但具备长期运营价值的</w:t>
      </w:r>
      <w:proofErr w:type="gramStart"/>
      <w:r>
        <w:rPr>
          <w:rFonts w:ascii="仿宋" w:eastAsia="仿宋" w:hAnsi="仿宋" w:hint="eastAsia"/>
          <w:sz w:val="28"/>
          <w:szCs w:val="28"/>
        </w:rPr>
        <w:t>潜在项目</w:t>
      </w:r>
      <w:proofErr w:type="gramEnd"/>
      <w:r>
        <w:rPr>
          <w:rFonts w:ascii="仿宋" w:eastAsia="仿宋" w:hAnsi="仿宋" w:hint="eastAsia"/>
          <w:sz w:val="28"/>
          <w:szCs w:val="28"/>
        </w:rPr>
        <w:t>一并纳入，形成整体项目库。</w:t>
      </w:r>
    </w:p>
    <w:p w:rsidR="00A96E0B" w:rsidRDefault="00C46389">
      <w:pPr>
        <w:pStyle w:val="ab"/>
        <w:numPr>
          <w:ilvl w:val="0"/>
          <w:numId w:val="2"/>
        </w:numPr>
        <w:tabs>
          <w:tab w:val="clear" w:pos="720"/>
        </w:tabs>
        <w:spacing w:line="360" w:lineRule="auto"/>
        <w:ind w:firstLineChars="0"/>
        <w:contextualSpacing/>
        <w:rPr>
          <w:rFonts w:ascii="仿宋" w:eastAsia="仿宋" w:hAnsi="仿宋"/>
          <w:b/>
          <w:bCs/>
          <w:sz w:val="28"/>
          <w:szCs w:val="28"/>
        </w:rPr>
      </w:pPr>
      <w:r>
        <w:rPr>
          <w:rFonts w:ascii="仿宋" w:eastAsia="仿宋" w:hAnsi="仿宋" w:hint="eastAsia"/>
          <w:b/>
          <w:bCs/>
          <w:sz w:val="28"/>
          <w:szCs w:val="28"/>
        </w:rPr>
        <w:t>项目时序安排</w:t>
      </w:r>
    </w:p>
    <w:p w:rsidR="00A96E0B" w:rsidRDefault="00C46389">
      <w:pPr>
        <w:numPr>
          <w:ilvl w:val="1"/>
          <w:numId w:val="5"/>
        </w:numPr>
        <w:spacing w:line="360" w:lineRule="auto"/>
        <w:rPr>
          <w:rFonts w:ascii="仿宋" w:eastAsia="仿宋" w:hAnsi="仿宋"/>
          <w:sz w:val="28"/>
          <w:szCs w:val="28"/>
        </w:rPr>
      </w:pPr>
      <w:r>
        <w:rPr>
          <w:rFonts w:ascii="仿宋" w:eastAsia="仿宋" w:hAnsi="仿宋" w:hint="eastAsia"/>
          <w:sz w:val="28"/>
          <w:szCs w:val="28"/>
        </w:rPr>
        <w:t>以“公共普惠、先易后难、由点及面、彰显特色、软硬兼施、协同建设”为原则，根据项目本身所在区域的重要程度及当前各项目资金筹措情况，近期集中力量优先打造一批投入资金较少、短期可落地见效的启动项目，实现风貌近期快速提升的目的；远期结合项目实际，妥善安排项目建设时序，以三年为总周期，安排历年项目清单。</w:t>
      </w:r>
    </w:p>
    <w:p w:rsidR="00A96E0B" w:rsidRDefault="00C46389">
      <w:pPr>
        <w:numPr>
          <w:ilvl w:val="0"/>
          <w:numId w:val="1"/>
        </w:numPr>
        <w:snapToGrid w:val="0"/>
        <w:spacing w:beforeLines="100" w:before="312" w:afterLines="50" w:after="156" w:line="360" w:lineRule="auto"/>
        <w:rPr>
          <w:rFonts w:ascii="仿宋" w:eastAsia="仿宋" w:hAnsi="仿宋" w:cs="仿宋"/>
          <w:b/>
          <w:sz w:val="32"/>
          <w:szCs w:val="32"/>
        </w:rPr>
      </w:pPr>
      <w:r>
        <w:rPr>
          <w:rFonts w:ascii="仿宋" w:eastAsia="仿宋" w:hAnsi="仿宋" w:cs="仿宋" w:hint="eastAsia"/>
          <w:b/>
          <w:sz w:val="32"/>
          <w:szCs w:val="32"/>
        </w:rPr>
        <w:t>成果构成</w:t>
      </w:r>
    </w:p>
    <w:p w:rsidR="00A96E0B" w:rsidRDefault="00C46389">
      <w:pPr>
        <w:pStyle w:val="ab"/>
        <w:numPr>
          <w:ilvl w:val="0"/>
          <w:numId w:val="6"/>
        </w:numPr>
        <w:tabs>
          <w:tab w:val="clear" w:pos="720"/>
        </w:tabs>
        <w:spacing w:line="360" w:lineRule="auto"/>
        <w:ind w:firstLineChars="0"/>
        <w:contextualSpacing/>
        <w:rPr>
          <w:rFonts w:ascii="仿宋" w:eastAsia="仿宋" w:hAnsi="仿宋"/>
          <w:b/>
          <w:bCs/>
          <w:sz w:val="28"/>
          <w:szCs w:val="28"/>
        </w:rPr>
      </w:pPr>
      <w:r>
        <w:rPr>
          <w:rFonts w:ascii="仿宋" w:eastAsia="仿宋" w:hAnsi="仿宋" w:hint="eastAsia"/>
          <w:b/>
          <w:bCs/>
          <w:sz w:val="28"/>
          <w:szCs w:val="28"/>
        </w:rPr>
        <w:t>成果内容</w:t>
      </w:r>
    </w:p>
    <w:p w:rsidR="00A96E0B" w:rsidRDefault="00C46389">
      <w:pPr>
        <w:snapToGrid w:val="0"/>
        <w:spacing w:afterLines="50" w:after="156" w:line="360" w:lineRule="auto"/>
        <w:ind w:firstLineChars="200" w:firstLine="560"/>
        <w:rPr>
          <w:rFonts w:ascii="仿宋" w:eastAsia="仿宋" w:hAnsi="仿宋" w:cs="仿宋"/>
          <w:sz w:val="28"/>
          <w:szCs w:val="28"/>
        </w:rPr>
      </w:pPr>
      <w:r>
        <w:rPr>
          <w:rFonts w:ascii="仿宋" w:eastAsia="仿宋" w:hAnsi="仿宋" w:cs="仿宋" w:hint="eastAsia"/>
          <w:sz w:val="28"/>
          <w:szCs w:val="28"/>
        </w:rPr>
        <w:t>《湛江市中心城区风貌提升三年行动方案</w:t>
      </w:r>
      <w:r w:rsidR="008E6712" w:rsidRPr="008E6712">
        <w:rPr>
          <w:rFonts w:ascii="仿宋" w:eastAsia="仿宋" w:hAnsi="仿宋" w:cs="仿宋" w:hint="eastAsia"/>
          <w:sz w:val="28"/>
          <w:szCs w:val="28"/>
        </w:rPr>
        <w:t>（</w:t>
      </w:r>
      <w:r w:rsidR="008E6712" w:rsidRPr="008E6712">
        <w:rPr>
          <w:rFonts w:ascii="仿宋" w:eastAsia="仿宋" w:hAnsi="仿宋" w:cs="仿宋"/>
          <w:sz w:val="28"/>
          <w:szCs w:val="28"/>
        </w:rPr>
        <w:t>2025-2027年）</w:t>
      </w:r>
      <w:r>
        <w:rPr>
          <w:rFonts w:ascii="仿宋" w:eastAsia="仿宋" w:hAnsi="仿宋" w:cs="仿宋" w:hint="eastAsia"/>
          <w:sz w:val="28"/>
          <w:szCs w:val="28"/>
        </w:rPr>
        <w:t>》</w:t>
      </w:r>
    </w:p>
    <w:p w:rsidR="00A96E0B" w:rsidRDefault="00C46389">
      <w:pPr>
        <w:pStyle w:val="ab"/>
        <w:numPr>
          <w:ilvl w:val="0"/>
          <w:numId w:val="6"/>
        </w:numPr>
        <w:tabs>
          <w:tab w:val="clear" w:pos="720"/>
        </w:tabs>
        <w:spacing w:line="360" w:lineRule="auto"/>
        <w:ind w:firstLineChars="0"/>
        <w:contextualSpacing/>
        <w:rPr>
          <w:rFonts w:ascii="仿宋" w:eastAsia="仿宋" w:hAnsi="仿宋"/>
          <w:b/>
          <w:bCs/>
          <w:sz w:val="28"/>
          <w:szCs w:val="28"/>
        </w:rPr>
      </w:pPr>
      <w:r>
        <w:rPr>
          <w:rFonts w:ascii="仿宋" w:eastAsia="仿宋" w:hAnsi="仿宋" w:hint="eastAsia"/>
          <w:b/>
          <w:bCs/>
          <w:sz w:val="28"/>
          <w:szCs w:val="28"/>
        </w:rPr>
        <w:t>成果形式</w:t>
      </w:r>
    </w:p>
    <w:p w:rsidR="00A96E0B" w:rsidRDefault="00C46389">
      <w:pPr>
        <w:snapToGrid w:val="0"/>
        <w:spacing w:afterLines="50" w:after="156" w:line="360" w:lineRule="auto"/>
        <w:ind w:firstLineChars="200" w:firstLine="560"/>
        <w:rPr>
          <w:rFonts w:ascii="仿宋" w:eastAsia="仿宋" w:hAnsi="仿宋" w:cs="仿宋"/>
          <w:sz w:val="28"/>
          <w:szCs w:val="28"/>
        </w:rPr>
      </w:pPr>
      <w:r>
        <w:rPr>
          <w:rFonts w:ascii="仿宋" w:eastAsia="仿宋" w:hAnsi="仿宋" w:cs="仿宋" w:hint="eastAsia"/>
          <w:sz w:val="28"/>
          <w:szCs w:val="28"/>
        </w:rPr>
        <w:t>（1）行动方案</w:t>
      </w:r>
      <w:r>
        <w:rPr>
          <w:rFonts w:ascii="仿宋" w:eastAsia="仿宋" w:hAnsi="仿宋" w:cs="仿宋"/>
          <w:sz w:val="28"/>
          <w:szCs w:val="28"/>
        </w:rPr>
        <w:t>文本</w:t>
      </w:r>
    </w:p>
    <w:p w:rsidR="00A96E0B" w:rsidRDefault="00C46389">
      <w:pPr>
        <w:snapToGrid w:val="0"/>
        <w:spacing w:afterLines="50" w:after="156" w:line="360" w:lineRule="auto"/>
        <w:ind w:firstLineChars="200" w:firstLine="560"/>
        <w:rPr>
          <w:rFonts w:ascii="仿宋" w:eastAsia="仿宋" w:hAnsi="仿宋" w:cs="仿宋"/>
          <w:sz w:val="28"/>
          <w:szCs w:val="28"/>
        </w:rPr>
      </w:pPr>
      <w:r>
        <w:rPr>
          <w:rFonts w:ascii="仿宋" w:eastAsia="仿宋" w:hAnsi="仿宋" w:cs="仿宋"/>
          <w:sz w:val="28"/>
          <w:szCs w:val="28"/>
        </w:rPr>
        <w:t>A</w:t>
      </w:r>
      <w:r>
        <w:rPr>
          <w:rFonts w:ascii="仿宋" w:eastAsia="仿宋" w:hAnsi="仿宋" w:cs="仿宋" w:hint="eastAsia"/>
          <w:sz w:val="28"/>
          <w:szCs w:val="28"/>
        </w:rPr>
        <w:t>4</w:t>
      </w:r>
      <w:r>
        <w:rPr>
          <w:rFonts w:ascii="仿宋" w:eastAsia="仿宋" w:hAnsi="仿宋" w:cs="仿宋"/>
          <w:sz w:val="28"/>
          <w:szCs w:val="28"/>
        </w:rPr>
        <w:t xml:space="preserve"> 规格（297mm×</w:t>
      </w:r>
      <w:r>
        <w:rPr>
          <w:rFonts w:ascii="仿宋" w:eastAsia="仿宋" w:hAnsi="仿宋" w:cs="仿宋" w:hint="eastAsia"/>
          <w:sz w:val="28"/>
          <w:szCs w:val="28"/>
        </w:rPr>
        <w:t>210</w:t>
      </w:r>
      <w:r>
        <w:rPr>
          <w:rFonts w:ascii="仿宋" w:eastAsia="仿宋" w:hAnsi="仿宋" w:cs="仿宋"/>
          <w:sz w:val="28"/>
          <w:szCs w:val="28"/>
        </w:rPr>
        <w:t>mm）装订成本。</w:t>
      </w:r>
    </w:p>
    <w:p w:rsidR="00A96E0B" w:rsidRDefault="00C46389">
      <w:pPr>
        <w:snapToGrid w:val="0"/>
        <w:spacing w:afterLines="50" w:after="156"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电子文件</w:t>
      </w:r>
    </w:p>
    <w:p w:rsidR="00A96E0B" w:rsidRDefault="00C46389">
      <w:pPr>
        <w:snapToGrid w:val="0"/>
        <w:spacing w:afterLines="50" w:after="156" w:line="360" w:lineRule="auto"/>
        <w:ind w:firstLineChars="200" w:firstLine="560"/>
        <w:rPr>
          <w:rFonts w:ascii="仿宋" w:eastAsia="仿宋" w:hAnsi="仿宋" w:cs="仿宋"/>
          <w:sz w:val="28"/>
          <w:szCs w:val="28"/>
        </w:rPr>
      </w:pPr>
      <w:r>
        <w:rPr>
          <w:rFonts w:ascii="仿宋" w:eastAsia="仿宋" w:hAnsi="仿宋" w:cs="仿宋" w:hint="eastAsia"/>
          <w:sz w:val="28"/>
          <w:szCs w:val="28"/>
        </w:rPr>
        <w:t>展示全部设计成果及相关电子文件，核心图纸提交</w:t>
      </w:r>
      <w:r>
        <w:rPr>
          <w:rFonts w:ascii="仿宋" w:eastAsia="仿宋" w:hAnsi="仿宋" w:cs="仿宋"/>
          <w:sz w:val="28"/>
          <w:szCs w:val="28"/>
        </w:rPr>
        <w:t>JPG格式，文本提交可编辑格式与pdf格式，汇报文件为</w:t>
      </w:r>
      <w:proofErr w:type="spellStart"/>
      <w:r>
        <w:rPr>
          <w:rFonts w:ascii="仿宋" w:eastAsia="仿宋" w:hAnsi="仿宋" w:cs="仿宋"/>
          <w:sz w:val="28"/>
          <w:szCs w:val="28"/>
        </w:rPr>
        <w:t>ppt</w:t>
      </w:r>
      <w:proofErr w:type="spellEnd"/>
      <w:r>
        <w:rPr>
          <w:rFonts w:ascii="仿宋" w:eastAsia="仿宋" w:hAnsi="仿宋" w:cs="仿宋"/>
          <w:sz w:val="28"/>
          <w:szCs w:val="28"/>
        </w:rPr>
        <w:t>格式与pdf格式。</w:t>
      </w:r>
    </w:p>
    <w:p w:rsidR="00A96E0B" w:rsidRDefault="00C46389">
      <w:pPr>
        <w:numPr>
          <w:ilvl w:val="0"/>
          <w:numId w:val="1"/>
        </w:numPr>
        <w:snapToGrid w:val="0"/>
        <w:spacing w:beforeLines="100" w:before="312" w:afterLines="50" w:after="156" w:line="360" w:lineRule="auto"/>
        <w:rPr>
          <w:rFonts w:ascii="仿宋" w:eastAsia="仿宋" w:hAnsi="仿宋" w:cs="仿宋"/>
          <w:b/>
          <w:sz w:val="32"/>
          <w:szCs w:val="32"/>
        </w:rPr>
      </w:pPr>
      <w:r>
        <w:rPr>
          <w:rFonts w:ascii="仿宋" w:eastAsia="仿宋" w:hAnsi="仿宋" w:cs="仿宋" w:hint="eastAsia"/>
          <w:b/>
          <w:sz w:val="32"/>
          <w:szCs w:val="32"/>
        </w:rPr>
        <w:t>工作组织及人员配置</w:t>
      </w:r>
    </w:p>
    <w:p w:rsidR="00A96E0B" w:rsidRDefault="00C46389">
      <w:pPr>
        <w:snapToGrid w:val="0"/>
        <w:spacing w:afterLines="50" w:after="156"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本项目安排</w:t>
      </w:r>
      <w:r w:rsidR="008E6712" w:rsidRPr="008E6712">
        <w:rPr>
          <w:rFonts w:ascii="仿宋" w:eastAsia="仿宋" w:hAnsi="仿宋" w:cs="仿宋" w:hint="eastAsia"/>
          <w:sz w:val="28"/>
          <w:szCs w:val="28"/>
        </w:rPr>
        <w:t>城乡规划类、建筑类、市政类（含涉水或环境专业）、交通类、景观类</w:t>
      </w:r>
      <w:r>
        <w:rPr>
          <w:rFonts w:ascii="仿宋" w:eastAsia="仿宋" w:hAnsi="仿宋" w:cs="仿宋" w:hint="eastAsia"/>
          <w:sz w:val="28"/>
          <w:szCs w:val="28"/>
        </w:rPr>
        <w:t xml:space="preserve">多个专业团队共同组建技术工作团队。 </w:t>
      </w:r>
    </w:p>
    <w:p w:rsidR="00A96E0B" w:rsidRDefault="008E6712">
      <w:pPr>
        <w:snapToGrid w:val="0"/>
        <w:spacing w:afterLines="50" w:after="156" w:line="360" w:lineRule="auto"/>
        <w:ind w:firstLineChars="200" w:firstLine="560"/>
        <w:rPr>
          <w:rFonts w:ascii="仿宋" w:eastAsia="仿宋" w:hAnsi="仿宋" w:cs="仿宋"/>
          <w:sz w:val="28"/>
          <w:szCs w:val="28"/>
        </w:rPr>
      </w:pPr>
      <w:r>
        <w:rPr>
          <w:rFonts w:ascii="仿宋" w:eastAsia="仿宋" w:hAnsi="仿宋" w:cs="仿宋" w:hint="eastAsia"/>
          <w:sz w:val="28"/>
          <w:szCs w:val="28"/>
        </w:rPr>
        <w:t>项目负责人需具</w:t>
      </w:r>
      <w:r w:rsidR="00C46389">
        <w:rPr>
          <w:rFonts w:ascii="仿宋" w:eastAsia="仿宋" w:hAnsi="仿宋" w:cs="仿宋" w:hint="eastAsia"/>
          <w:sz w:val="28"/>
          <w:szCs w:val="28"/>
        </w:rPr>
        <w:t>有教授级高级工程师职称</w:t>
      </w:r>
      <w:r>
        <w:rPr>
          <w:rFonts w:ascii="仿宋" w:eastAsia="仿宋" w:hAnsi="仿宋" w:cs="仿宋" w:hint="eastAsia"/>
          <w:sz w:val="28"/>
          <w:szCs w:val="28"/>
        </w:rPr>
        <w:t>。</w:t>
      </w:r>
      <w:r w:rsidR="00C46389">
        <w:rPr>
          <w:rFonts w:ascii="仿宋" w:eastAsia="仿宋" w:hAnsi="仿宋" w:cs="仿宋" w:hint="eastAsia"/>
          <w:sz w:val="28"/>
          <w:szCs w:val="28"/>
        </w:rPr>
        <w:t xml:space="preserve"> </w:t>
      </w:r>
    </w:p>
    <w:p w:rsidR="00A96E0B" w:rsidRDefault="00C46389">
      <w:pPr>
        <w:numPr>
          <w:ilvl w:val="0"/>
          <w:numId w:val="1"/>
        </w:numPr>
        <w:snapToGrid w:val="0"/>
        <w:spacing w:beforeLines="100" w:before="312" w:afterLines="50" w:after="156" w:line="360" w:lineRule="auto"/>
        <w:rPr>
          <w:rFonts w:ascii="仿宋" w:eastAsia="仿宋" w:hAnsi="仿宋" w:cs="仿宋"/>
          <w:b/>
          <w:sz w:val="32"/>
          <w:szCs w:val="32"/>
        </w:rPr>
      </w:pPr>
      <w:r>
        <w:rPr>
          <w:rFonts w:ascii="仿宋" w:eastAsia="仿宋" w:hAnsi="仿宋" w:cs="仿宋" w:hint="eastAsia"/>
          <w:b/>
          <w:sz w:val="32"/>
          <w:szCs w:val="32"/>
        </w:rPr>
        <w:t>工作周期</w:t>
      </w:r>
    </w:p>
    <w:p w:rsidR="0097254A" w:rsidRDefault="0097254A" w:rsidP="0097254A">
      <w:pPr>
        <w:snapToGrid w:val="0"/>
        <w:spacing w:afterLines="50" w:after="156" w:line="360" w:lineRule="auto"/>
        <w:ind w:firstLineChars="200" w:firstLine="560"/>
        <w:rPr>
          <w:rFonts w:ascii="仿宋" w:eastAsia="仿宋" w:hAnsi="仿宋" w:cs="仿宋" w:hint="eastAsia"/>
          <w:sz w:val="28"/>
          <w:szCs w:val="28"/>
        </w:rPr>
      </w:pPr>
      <w:r>
        <w:rPr>
          <w:rFonts w:ascii="仿宋" w:eastAsia="仿宋" w:hAnsi="仿宋" w:cs="仿宋" w:hint="eastAsia"/>
          <w:sz w:val="28"/>
          <w:szCs w:val="28"/>
        </w:rPr>
        <w:t>工作</w:t>
      </w:r>
      <w:r>
        <w:rPr>
          <w:rFonts w:ascii="仿宋" w:eastAsia="仿宋" w:hAnsi="仿宋" w:cs="仿宋"/>
          <w:sz w:val="28"/>
          <w:szCs w:val="28"/>
        </w:rPr>
        <w:t>周期为</w:t>
      </w:r>
      <w:r>
        <w:rPr>
          <w:rFonts w:ascii="仿宋" w:eastAsia="仿宋" w:hAnsi="仿宋" w:cs="仿宋" w:hint="eastAsia"/>
          <w:sz w:val="28"/>
          <w:szCs w:val="28"/>
        </w:rPr>
        <w:t>2个月，具体工作期限</w:t>
      </w:r>
      <w:r>
        <w:rPr>
          <w:rFonts w:ascii="仿宋" w:eastAsia="仿宋" w:hAnsi="仿宋" w:cs="仿宋"/>
          <w:sz w:val="28"/>
          <w:szCs w:val="28"/>
        </w:rPr>
        <w:t>以提交最终成果为准。</w:t>
      </w:r>
    </w:p>
    <w:p w:rsidR="00A96E0B" w:rsidRDefault="00C46389" w:rsidP="0097254A">
      <w:pPr>
        <w:numPr>
          <w:ilvl w:val="0"/>
          <w:numId w:val="1"/>
        </w:numPr>
        <w:snapToGrid w:val="0"/>
        <w:spacing w:beforeLines="100" w:before="312" w:afterLines="50" w:after="156" w:line="360" w:lineRule="auto"/>
        <w:rPr>
          <w:rFonts w:ascii="仿宋" w:eastAsia="仿宋" w:hAnsi="仿宋" w:cs="仿宋"/>
          <w:b/>
          <w:sz w:val="32"/>
          <w:szCs w:val="32"/>
        </w:rPr>
      </w:pPr>
      <w:r>
        <w:rPr>
          <w:rFonts w:ascii="仿宋" w:eastAsia="仿宋" w:hAnsi="仿宋" w:cs="仿宋" w:hint="eastAsia"/>
          <w:b/>
          <w:sz w:val="32"/>
          <w:szCs w:val="32"/>
        </w:rPr>
        <w:t>费用及付款方式</w:t>
      </w:r>
    </w:p>
    <w:p w:rsidR="00A96E0B" w:rsidRDefault="00C46389">
      <w:pPr>
        <w:widowControl/>
        <w:ind w:firstLineChars="200" w:firstLine="560"/>
        <w:jc w:val="left"/>
        <w:rPr>
          <w:rFonts w:ascii="仿宋" w:eastAsia="仿宋" w:hAnsi="仿宋" w:cs="Times New Roman"/>
          <w:sz w:val="28"/>
          <w:szCs w:val="28"/>
        </w:rPr>
      </w:pPr>
      <w:r>
        <w:rPr>
          <w:rFonts w:ascii="仿宋" w:eastAsia="仿宋" w:hAnsi="仿宋" w:cs="Times New Roman" w:hint="eastAsia"/>
          <w:sz w:val="28"/>
          <w:szCs w:val="28"/>
        </w:rPr>
        <w:t>参考中国城市规划协会2017年《城市规划设计计费指导意见》在编制城市总体规划中，进行相关专题研究的收费标准，</w:t>
      </w:r>
    </w:p>
    <w:p w:rsidR="00A96E0B" w:rsidRDefault="00C46389">
      <w:pPr>
        <w:widowControl/>
        <w:jc w:val="left"/>
        <w:rPr>
          <w:rFonts w:ascii="仿宋" w:eastAsia="仿宋" w:hAnsi="仿宋" w:cs="Times New Roman"/>
          <w:sz w:val="28"/>
          <w:szCs w:val="28"/>
        </w:rPr>
      </w:pPr>
      <w:r>
        <w:rPr>
          <w:rFonts w:ascii="仿宋" w:eastAsia="仿宋" w:hAnsi="仿宋" w:cs="Times New Roman" w:hint="eastAsia"/>
          <w:sz w:val="28"/>
          <w:szCs w:val="28"/>
        </w:rPr>
        <w:t>“</w:t>
      </w:r>
      <w:r>
        <w:rPr>
          <w:rFonts w:ascii="微软雅黑" w:eastAsia="微软雅黑" w:hAnsi="微软雅黑" w:cs="微软雅黑"/>
          <w:color w:val="000000"/>
          <w:kern w:val="0"/>
          <w:szCs w:val="21"/>
          <w:shd w:val="clear" w:color="auto" w:fill="FFFFFF"/>
          <w:lang w:bidi="ar"/>
        </w:rPr>
        <w:t>7、在编制城市总体规划中，如需进行相关专题研究，应单独计费。计费为：超大城市70万元/每个，特大城市50万元/每个，大城市35万元/每个，中等城市25万元/每个，小城市15万元/每个；单独编制的专题研究应单独计费。</w:t>
      </w:r>
      <w:r>
        <w:rPr>
          <w:rFonts w:ascii="仿宋" w:eastAsia="仿宋" w:hAnsi="仿宋" w:cs="Times New Roman" w:hint="eastAsia"/>
          <w:sz w:val="28"/>
          <w:szCs w:val="28"/>
        </w:rPr>
        <w:t>”</w:t>
      </w:r>
    </w:p>
    <w:p w:rsidR="00A96E0B" w:rsidRDefault="00C46389">
      <w:pPr>
        <w:snapToGrid w:val="0"/>
        <w:spacing w:afterLines="50" w:after="156" w:line="360" w:lineRule="auto"/>
        <w:ind w:firstLineChars="200" w:firstLine="560"/>
        <w:rPr>
          <w:rFonts w:ascii="仿宋" w:eastAsia="仿宋" w:hAnsi="仿宋" w:cs="Times New Roman"/>
          <w:sz w:val="28"/>
          <w:szCs w:val="28"/>
        </w:rPr>
      </w:pPr>
      <w:r>
        <w:rPr>
          <w:rFonts w:ascii="仿宋" w:eastAsia="仿宋" w:hAnsi="仿宋" w:cs="Times New Roman" w:hint="eastAsia"/>
          <w:sz w:val="28"/>
          <w:szCs w:val="28"/>
        </w:rPr>
        <w:t>本次工作计费为35万元，下浮42%并取整，即20万元为基准。</w:t>
      </w:r>
    </w:p>
    <w:p w:rsidR="00A96E0B" w:rsidRPr="008E6712" w:rsidRDefault="00C46389" w:rsidP="008E6712">
      <w:pPr>
        <w:widowControl/>
        <w:ind w:firstLineChars="200" w:firstLine="560"/>
        <w:jc w:val="left"/>
        <w:rPr>
          <w:rFonts w:ascii="仿宋" w:eastAsia="仿宋" w:hAnsi="仿宋" w:cs="Times New Roman"/>
          <w:sz w:val="28"/>
          <w:szCs w:val="28"/>
        </w:rPr>
      </w:pPr>
      <w:r w:rsidRPr="008E6712">
        <w:rPr>
          <w:rFonts w:ascii="仿宋" w:eastAsia="仿宋" w:hAnsi="仿宋" w:cs="Times New Roman" w:hint="eastAsia"/>
          <w:sz w:val="28"/>
          <w:szCs w:val="28"/>
        </w:rPr>
        <w:t>供应</w:t>
      </w:r>
      <w:proofErr w:type="gramStart"/>
      <w:r w:rsidRPr="008E6712">
        <w:rPr>
          <w:rFonts w:ascii="仿宋" w:eastAsia="仿宋" w:hAnsi="仿宋" w:cs="Times New Roman" w:hint="eastAsia"/>
          <w:sz w:val="28"/>
          <w:szCs w:val="28"/>
        </w:rPr>
        <w:t>商修改</w:t>
      </w:r>
      <w:proofErr w:type="gramEnd"/>
      <w:r w:rsidRPr="008E6712">
        <w:rPr>
          <w:rFonts w:ascii="仿宋" w:eastAsia="仿宋" w:hAnsi="仿宋" w:cs="Times New Roman" w:hint="eastAsia"/>
          <w:sz w:val="28"/>
          <w:szCs w:val="28"/>
        </w:rPr>
        <w:t>完善规划成果并经采购人同意验收后20个工作日内，采购人向供应商支付全部合同额。</w:t>
      </w:r>
    </w:p>
    <w:p w:rsidR="00A96E0B" w:rsidRPr="00A43232" w:rsidRDefault="00C46389" w:rsidP="00A43232">
      <w:pPr>
        <w:snapToGrid w:val="0"/>
        <w:spacing w:beforeLines="100" w:before="312" w:afterLines="50" w:after="156" w:line="360" w:lineRule="auto"/>
        <w:rPr>
          <w:rFonts w:ascii="仿宋" w:eastAsia="仿宋" w:hAnsi="仿宋" w:cs="仿宋"/>
          <w:b/>
          <w:sz w:val="32"/>
          <w:szCs w:val="32"/>
        </w:rPr>
      </w:pPr>
      <w:r w:rsidRPr="00A43232">
        <w:rPr>
          <w:rFonts w:ascii="仿宋" w:eastAsia="仿宋" w:hAnsi="仿宋" w:cs="仿宋" w:hint="eastAsia"/>
          <w:b/>
          <w:sz w:val="32"/>
          <w:szCs w:val="32"/>
        </w:rPr>
        <w:t>九、其他</w:t>
      </w:r>
    </w:p>
    <w:p w:rsidR="00A96E0B" w:rsidRPr="00A43232" w:rsidRDefault="00C46389" w:rsidP="00A43232">
      <w:pPr>
        <w:widowControl/>
        <w:ind w:firstLineChars="200" w:firstLine="560"/>
        <w:jc w:val="left"/>
        <w:rPr>
          <w:rFonts w:ascii="仿宋" w:eastAsia="仿宋" w:hAnsi="仿宋" w:cs="Times New Roman"/>
          <w:sz w:val="28"/>
          <w:szCs w:val="28"/>
        </w:rPr>
      </w:pPr>
      <w:r w:rsidRPr="00A43232">
        <w:rPr>
          <w:rFonts w:ascii="仿宋" w:eastAsia="仿宋" w:hAnsi="仿宋" w:cs="Times New Roman" w:hint="eastAsia"/>
          <w:sz w:val="28"/>
          <w:szCs w:val="28"/>
        </w:rPr>
        <w:t>如发生需求范围外其他工作时，由双方协商解决，或另行签订补充协议。</w:t>
      </w:r>
    </w:p>
    <w:sectPr w:rsidR="00A96E0B" w:rsidRPr="00A4323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5EA" w:rsidRDefault="009705EA">
      <w:r>
        <w:separator/>
      </w:r>
    </w:p>
  </w:endnote>
  <w:endnote w:type="continuationSeparator" w:id="0">
    <w:p w:rsidR="009705EA" w:rsidRDefault="0097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charset w:val="86"/>
    <w:family w:val="modern"/>
    <w:pitch w:val="fixed"/>
    <w:sig w:usb0="800002BF" w:usb1="38CF7CFA"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E0B" w:rsidRDefault="00C46389">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96E0B" w:rsidRDefault="00C46389">
                          <w:pPr>
                            <w:pStyle w:val="a5"/>
                          </w:pPr>
                          <w:r>
                            <w:fldChar w:fldCharType="begin"/>
                          </w:r>
                          <w:r>
                            <w:instrText xml:space="preserve"> PAGE  \* MERGEFORMAT </w:instrText>
                          </w:r>
                          <w:r>
                            <w:fldChar w:fldCharType="separate"/>
                          </w:r>
                          <w:r w:rsidR="0097254A">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96E0B" w:rsidRDefault="00C46389">
                    <w:pPr>
                      <w:pStyle w:val="a5"/>
                    </w:pPr>
                    <w:r>
                      <w:fldChar w:fldCharType="begin"/>
                    </w:r>
                    <w:r>
                      <w:instrText xml:space="preserve"> PAGE  \* MERGEFORMAT </w:instrText>
                    </w:r>
                    <w:r>
                      <w:fldChar w:fldCharType="separate"/>
                    </w:r>
                    <w:r w:rsidR="0097254A">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5EA" w:rsidRDefault="009705EA">
      <w:r>
        <w:separator/>
      </w:r>
    </w:p>
  </w:footnote>
  <w:footnote w:type="continuationSeparator" w:id="0">
    <w:p w:rsidR="009705EA" w:rsidRDefault="00970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67F8"/>
    <w:multiLevelType w:val="multilevel"/>
    <w:tmpl w:val="06FA67F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4E87E87"/>
    <w:multiLevelType w:val="multilevel"/>
    <w:tmpl w:val="24E87E87"/>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6BD61FF"/>
    <w:multiLevelType w:val="multilevel"/>
    <w:tmpl w:val="26BD61FF"/>
    <w:lvl w:ilvl="0">
      <w:start w:val="1"/>
      <w:numFmt w:val="decimal"/>
      <w:lvlText w:val="%1."/>
      <w:lvlJc w:val="left"/>
      <w:pPr>
        <w:tabs>
          <w:tab w:val="left" w:pos="720"/>
        </w:tabs>
        <w:ind w:left="720" w:hanging="360"/>
      </w:pPr>
    </w:lvl>
    <w:lvl w:ilvl="1">
      <w:start w:val="1"/>
      <w:numFmt w:val="bullet"/>
      <w:lvlText w:val=""/>
      <w:lvlJc w:val="left"/>
      <w:pPr>
        <w:ind w:left="1520" w:hanging="440"/>
      </w:pPr>
      <w:rPr>
        <w:rFonts w:ascii="Wingdings" w:hAnsi="Wingding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38FAE15C"/>
    <w:multiLevelType w:val="singleLevel"/>
    <w:tmpl w:val="38FAE15C"/>
    <w:lvl w:ilvl="0">
      <w:start w:val="2"/>
      <w:numFmt w:val="chineseCounting"/>
      <w:suff w:val="nothing"/>
      <w:lvlText w:val="%1、"/>
      <w:lvlJc w:val="left"/>
      <w:rPr>
        <w:rFonts w:hint="eastAsia"/>
      </w:rPr>
    </w:lvl>
  </w:abstractNum>
  <w:abstractNum w:abstractNumId="4" w15:restartNumberingAfterBreak="0">
    <w:nsid w:val="72C1340F"/>
    <w:multiLevelType w:val="multilevel"/>
    <w:tmpl w:val="72C1340F"/>
    <w:lvl w:ilvl="0">
      <w:start w:val="1"/>
      <w:numFmt w:val="decimal"/>
      <w:lvlText w:val="%1."/>
      <w:lvlJc w:val="left"/>
      <w:pPr>
        <w:tabs>
          <w:tab w:val="left" w:pos="720"/>
        </w:tabs>
        <w:ind w:left="720" w:hanging="360"/>
      </w:pPr>
    </w:lvl>
    <w:lvl w:ilvl="1">
      <w:start w:val="1"/>
      <w:numFmt w:val="bullet"/>
      <w:lvlText w:val=""/>
      <w:lvlJc w:val="left"/>
      <w:pPr>
        <w:ind w:left="1520" w:hanging="440"/>
      </w:pPr>
      <w:rPr>
        <w:rFonts w:ascii="Wingdings" w:hAnsi="Wingding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7E990778"/>
    <w:multiLevelType w:val="multilevel"/>
    <w:tmpl w:val="7E990778"/>
    <w:lvl w:ilvl="0">
      <w:start w:val="1"/>
      <w:numFmt w:val="decimal"/>
      <w:lvlText w:val="%1."/>
      <w:lvlJc w:val="left"/>
      <w:pPr>
        <w:tabs>
          <w:tab w:val="left" w:pos="720"/>
        </w:tabs>
        <w:ind w:left="720" w:hanging="360"/>
      </w:pPr>
    </w:lvl>
    <w:lvl w:ilvl="1">
      <w:start w:val="1"/>
      <w:numFmt w:val="bullet"/>
      <w:lvlText w:val=""/>
      <w:lvlJc w:val="left"/>
      <w:pPr>
        <w:ind w:left="1520" w:hanging="440"/>
      </w:pPr>
      <w:rPr>
        <w:rFonts w:ascii="Wingdings" w:hAnsi="Wingding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40A"/>
    <w:rsid w:val="BFBD0514"/>
    <w:rsid w:val="EFF74E75"/>
    <w:rsid w:val="FFFFF2BB"/>
    <w:rsid w:val="000009D5"/>
    <w:rsid w:val="00007F96"/>
    <w:rsid w:val="00036641"/>
    <w:rsid w:val="000444AB"/>
    <w:rsid w:val="0005595B"/>
    <w:rsid w:val="00072735"/>
    <w:rsid w:val="00086B0F"/>
    <w:rsid w:val="000944B2"/>
    <w:rsid w:val="000973D2"/>
    <w:rsid w:val="000A0CF8"/>
    <w:rsid w:val="000A0DB0"/>
    <w:rsid w:val="000C7C26"/>
    <w:rsid w:val="000D1531"/>
    <w:rsid w:val="000D5094"/>
    <w:rsid w:val="000E59B8"/>
    <w:rsid w:val="000F2C21"/>
    <w:rsid w:val="000F5AE3"/>
    <w:rsid w:val="00101C1E"/>
    <w:rsid w:val="0011025A"/>
    <w:rsid w:val="0012327B"/>
    <w:rsid w:val="00141E85"/>
    <w:rsid w:val="00145FB6"/>
    <w:rsid w:val="00167095"/>
    <w:rsid w:val="001715DB"/>
    <w:rsid w:val="00175A9D"/>
    <w:rsid w:val="0018153D"/>
    <w:rsid w:val="00192C47"/>
    <w:rsid w:val="001A7277"/>
    <w:rsid w:val="001B2154"/>
    <w:rsid w:val="001C2966"/>
    <w:rsid w:val="001D73BD"/>
    <w:rsid w:val="001E22A5"/>
    <w:rsid w:val="001E713D"/>
    <w:rsid w:val="001F33AB"/>
    <w:rsid w:val="00206AC2"/>
    <w:rsid w:val="00223417"/>
    <w:rsid w:val="00223CF7"/>
    <w:rsid w:val="00225BB6"/>
    <w:rsid w:val="00231356"/>
    <w:rsid w:val="002345A3"/>
    <w:rsid w:val="00236E75"/>
    <w:rsid w:val="002445F6"/>
    <w:rsid w:val="0025230C"/>
    <w:rsid w:val="00252F4F"/>
    <w:rsid w:val="00272942"/>
    <w:rsid w:val="00273A96"/>
    <w:rsid w:val="0028540E"/>
    <w:rsid w:val="00297A07"/>
    <w:rsid w:val="00297FEC"/>
    <w:rsid w:val="002A6C4A"/>
    <w:rsid w:val="002B61AB"/>
    <w:rsid w:val="002C60D9"/>
    <w:rsid w:val="002C7454"/>
    <w:rsid w:val="002D1098"/>
    <w:rsid w:val="00301505"/>
    <w:rsid w:val="00303436"/>
    <w:rsid w:val="00305FDD"/>
    <w:rsid w:val="00306EDD"/>
    <w:rsid w:val="00317B72"/>
    <w:rsid w:val="003419D7"/>
    <w:rsid w:val="00350E85"/>
    <w:rsid w:val="00352D19"/>
    <w:rsid w:val="00360977"/>
    <w:rsid w:val="00361410"/>
    <w:rsid w:val="003733E9"/>
    <w:rsid w:val="00376606"/>
    <w:rsid w:val="00382150"/>
    <w:rsid w:val="00391AAB"/>
    <w:rsid w:val="00397048"/>
    <w:rsid w:val="003A3381"/>
    <w:rsid w:val="003D418F"/>
    <w:rsid w:val="003E1F97"/>
    <w:rsid w:val="003F1E10"/>
    <w:rsid w:val="003F798C"/>
    <w:rsid w:val="004005B4"/>
    <w:rsid w:val="00414CEB"/>
    <w:rsid w:val="00432DF7"/>
    <w:rsid w:val="00436655"/>
    <w:rsid w:val="00462E3C"/>
    <w:rsid w:val="00473D51"/>
    <w:rsid w:val="004818FB"/>
    <w:rsid w:val="004913CC"/>
    <w:rsid w:val="00491EE2"/>
    <w:rsid w:val="0049201C"/>
    <w:rsid w:val="00493389"/>
    <w:rsid w:val="004B7455"/>
    <w:rsid w:val="004C74A9"/>
    <w:rsid w:val="004F3EAE"/>
    <w:rsid w:val="00500032"/>
    <w:rsid w:val="00502765"/>
    <w:rsid w:val="0050312F"/>
    <w:rsid w:val="00504A11"/>
    <w:rsid w:val="00513238"/>
    <w:rsid w:val="005304B4"/>
    <w:rsid w:val="00530748"/>
    <w:rsid w:val="005361FB"/>
    <w:rsid w:val="00560A99"/>
    <w:rsid w:val="00576B46"/>
    <w:rsid w:val="005818B9"/>
    <w:rsid w:val="00582E2E"/>
    <w:rsid w:val="00590ABA"/>
    <w:rsid w:val="005A2767"/>
    <w:rsid w:val="005A6E6A"/>
    <w:rsid w:val="005B3FAF"/>
    <w:rsid w:val="005D3F59"/>
    <w:rsid w:val="005E0F91"/>
    <w:rsid w:val="005E39C3"/>
    <w:rsid w:val="005E679D"/>
    <w:rsid w:val="005F246E"/>
    <w:rsid w:val="006133B5"/>
    <w:rsid w:val="0064118F"/>
    <w:rsid w:val="00643E00"/>
    <w:rsid w:val="00646E5C"/>
    <w:rsid w:val="00665B7B"/>
    <w:rsid w:val="00676FD4"/>
    <w:rsid w:val="00686890"/>
    <w:rsid w:val="00687883"/>
    <w:rsid w:val="006923B1"/>
    <w:rsid w:val="00696A0C"/>
    <w:rsid w:val="006C1CD8"/>
    <w:rsid w:val="006D533C"/>
    <w:rsid w:val="006E1CA8"/>
    <w:rsid w:val="0072388C"/>
    <w:rsid w:val="00730E7C"/>
    <w:rsid w:val="007331EF"/>
    <w:rsid w:val="00735A16"/>
    <w:rsid w:val="0074235E"/>
    <w:rsid w:val="00742950"/>
    <w:rsid w:val="00752B4F"/>
    <w:rsid w:val="00775C4F"/>
    <w:rsid w:val="00776814"/>
    <w:rsid w:val="007872A5"/>
    <w:rsid w:val="007A0815"/>
    <w:rsid w:val="007A33A8"/>
    <w:rsid w:val="007C54BD"/>
    <w:rsid w:val="007E530F"/>
    <w:rsid w:val="00820AD1"/>
    <w:rsid w:val="00823DEA"/>
    <w:rsid w:val="0083167B"/>
    <w:rsid w:val="00832433"/>
    <w:rsid w:val="00832558"/>
    <w:rsid w:val="0085278F"/>
    <w:rsid w:val="00875C44"/>
    <w:rsid w:val="00884536"/>
    <w:rsid w:val="008B0153"/>
    <w:rsid w:val="008C62A1"/>
    <w:rsid w:val="008C6C8D"/>
    <w:rsid w:val="008D6C82"/>
    <w:rsid w:val="008E6712"/>
    <w:rsid w:val="008F440C"/>
    <w:rsid w:val="0090240A"/>
    <w:rsid w:val="009131B2"/>
    <w:rsid w:val="00914700"/>
    <w:rsid w:val="0092527E"/>
    <w:rsid w:val="00970202"/>
    <w:rsid w:val="009705EA"/>
    <w:rsid w:val="0097254A"/>
    <w:rsid w:val="00980066"/>
    <w:rsid w:val="00984B5C"/>
    <w:rsid w:val="0099141E"/>
    <w:rsid w:val="00993A1C"/>
    <w:rsid w:val="009D0636"/>
    <w:rsid w:val="009D5CF0"/>
    <w:rsid w:val="009F17FC"/>
    <w:rsid w:val="009F4B26"/>
    <w:rsid w:val="009F749D"/>
    <w:rsid w:val="00A04E82"/>
    <w:rsid w:val="00A11394"/>
    <w:rsid w:val="00A43232"/>
    <w:rsid w:val="00A56D18"/>
    <w:rsid w:val="00A75B89"/>
    <w:rsid w:val="00A7611D"/>
    <w:rsid w:val="00A80CA1"/>
    <w:rsid w:val="00A87E56"/>
    <w:rsid w:val="00A96E0B"/>
    <w:rsid w:val="00AA0C4B"/>
    <w:rsid w:val="00AA138D"/>
    <w:rsid w:val="00AD704A"/>
    <w:rsid w:val="00AE2400"/>
    <w:rsid w:val="00AF1A01"/>
    <w:rsid w:val="00B25025"/>
    <w:rsid w:val="00B26A56"/>
    <w:rsid w:val="00B3340F"/>
    <w:rsid w:val="00B33491"/>
    <w:rsid w:val="00B4059C"/>
    <w:rsid w:val="00B5532C"/>
    <w:rsid w:val="00B56FD7"/>
    <w:rsid w:val="00B81D5E"/>
    <w:rsid w:val="00B92F7B"/>
    <w:rsid w:val="00BA658D"/>
    <w:rsid w:val="00BB427A"/>
    <w:rsid w:val="00BC2B2D"/>
    <w:rsid w:val="00BE4AAF"/>
    <w:rsid w:val="00BF098F"/>
    <w:rsid w:val="00BF2139"/>
    <w:rsid w:val="00BF439C"/>
    <w:rsid w:val="00C110EA"/>
    <w:rsid w:val="00C13C83"/>
    <w:rsid w:val="00C23E8D"/>
    <w:rsid w:val="00C409E3"/>
    <w:rsid w:val="00C423DC"/>
    <w:rsid w:val="00C46389"/>
    <w:rsid w:val="00C60AB0"/>
    <w:rsid w:val="00C730A9"/>
    <w:rsid w:val="00C7330C"/>
    <w:rsid w:val="00C76887"/>
    <w:rsid w:val="00C83E7C"/>
    <w:rsid w:val="00C95F95"/>
    <w:rsid w:val="00CA00DA"/>
    <w:rsid w:val="00CA4B8A"/>
    <w:rsid w:val="00CB2C1B"/>
    <w:rsid w:val="00CC159E"/>
    <w:rsid w:val="00CC7F48"/>
    <w:rsid w:val="00CD40C2"/>
    <w:rsid w:val="00CD4D3A"/>
    <w:rsid w:val="00CE164A"/>
    <w:rsid w:val="00CE3F30"/>
    <w:rsid w:val="00CE5099"/>
    <w:rsid w:val="00CF3D4C"/>
    <w:rsid w:val="00D00CA2"/>
    <w:rsid w:val="00D13F72"/>
    <w:rsid w:val="00D3573A"/>
    <w:rsid w:val="00D43ABC"/>
    <w:rsid w:val="00D451BD"/>
    <w:rsid w:val="00D45C0F"/>
    <w:rsid w:val="00D53A61"/>
    <w:rsid w:val="00D55052"/>
    <w:rsid w:val="00D66254"/>
    <w:rsid w:val="00D706F2"/>
    <w:rsid w:val="00D7101B"/>
    <w:rsid w:val="00D910EB"/>
    <w:rsid w:val="00DA4A97"/>
    <w:rsid w:val="00DB1EC8"/>
    <w:rsid w:val="00DB3F08"/>
    <w:rsid w:val="00DB465F"/>
    <w:rsid w:val="00DB5E08"/>
    <w:rsid w:val="00DC670E"/>
    <w:rsid w:val="00DC7585"/>
    <w:rsid w:val="00DE72C5"/>
    <w:rsid w:val="00DF475A"/>
    <w:rsid w:val="00DF6170"/>
    <w:rsid w:val="00DF6BD3"/>
    <w:rsid w:val="00E00B6E"/>
    <w:rsid w:val="00E11678"/>
    <w:rsid w:val="00E1205B"/>
    <w:rsid w:val="00E20F69"/>
    <w:rsid w:val="00E22C66"/>
    <w:rsid w:val="00E254B6"/>
    <w:rsid w:val="00E321C2"/>
    <w:rsid w:val="00E40199"/>
    <w:rsid w:val="00E405D9"/>
    <w:rsid w:val="00E503CD"/>
    <w:rsid w:val="00E51499"/>
    <w:rsid w:val="00E539ED"/>
    <w:rsid w:val="00E71622"/>
    <w:rsid w:val="00E73AFD"/>
    <w:rsid w:val="00E84031"/>
    <w:rsid w:val="00E946CE"/>
    <w:rsid w:val="00EA6051"/>
    <w:rsid w:val="00EA6CA8"/>
    <w:rsid w:val="00EB398D"/>
    <w:rsid w:val="00ED7900"/>
    <w:rsid w:val="00EF6FE0"/>
    <w:rsid w:val="00F06BBC"/>
    <w:rsid w:val="00F11E78"/>
    <w:rsid w:val="00F13043"/>
    <w:rsid w:val="00F1544A"/>
    <w:rsid w:val="00F20905"/>
    <w:rsid w:val="00F32792"/>
    <w:rsid w:val="00F458CF"/>
    <w:rsid w:val="00F569AB"/>
    <w:rsid w:val="00F6152F"/>
    <w:rsid w:val="00F62F7F"/>
    <w:rsid w:val="00F9304A"/>
    <w:rsid w:val="00FB4513"/>
    <w:rsid w:val="00FB5438"/>
    <w:rsid w:val="00FC072C"/>
    <w:rsid w:val="00FC14AD"/>
    <w:rsid w:val="00FC6B76"/>
    <w:rsid w:val="00FD03C9"/>
    <w:rsid w:val="00FD3D12"/>
    <w:rsid w:val="00FD4AD5"/>
    <w:rsid w:val="00FF1AD5"/>
    <w:rsid w:val="05E07758"/>
    <w:rsid w:val="15911928"/>
    <w:rsid w:val="1BB786BA"/>
    <w:rsid w:val="1BDB37F6"/>
    <w:rsid w:val="1CF7E7EB"/>
    <w:rsid w:val="1E3173A3"/>
    <w:rsid w:val="1E6C2E4E"/>
    <w:rsid w:val="231E0C58"/>
    <w:rsid w:val="2AFF12E5"/>
    <w:rsid w:val="3BFA6740"/>
    <w:rsid w:val="3FF790DB"/>
    <w:rsid w:val="699C6993"/>
    <w:rsid w:val="7D343777"/>
    <w:rsid w:val="7D3F2859"/>
    <w:rsid w:val="7EFD165C"/>
    <w:rsid w:val="7FFFA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194E32"/>
  <w15:docId w15:val="{2AFEF456-77A6-4D46-B5A4-FAAC70607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paragraph" w:styleId="ab">
    <w:name w:val="List Paragraph"/>
    <w:basedOn w:val="a"/>
    <w:uiPriority w:val="34"/>
    <w:qFormat/>
    <w:pPr>
      <w:ind w:firstLineChars="200" w:firstLine="420"/>
    </w:p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57F615-86CA-4430-B3B5-9B3AE5406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308</Words>
  <Characters>1757</Characters>
  <Application>Microsoft Office Word</Application>
  <DocSecurity>0</DocSecurity>
  <Lines>14</Lines>
  <Paragraphs>4</Paragraphs>
  <ScaleCrop>false</ScaleCrop>
  <Company>Microsoft</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dell</cp:lastModifiedBy>
  <cp:revision>4</cp:revision>
  <cp:lastPrinted>2024-07-31T17:55:00Z</cp:lastPrinted>
  <dcterms:created xsi:type="dcterms:W3CDTF">2025-06-11T20:04:00Z</dcterms:created>
  <dcterms:modified xsi:type="dcterms:W3CDTF">2025-10-29T03:47:00Z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48F77FEA1425F40FAD1900694CEB7EF8_43</vt:lpwstr>
  </property>
  <property fmtid="{D5CDD505-2E9C-101B-9397-08002B2CF9AE}" pid="4" name="KSOTemplateDocerSaveRecord">
    <vt:lpwstr>eyJoZGlkIjoiMzgwMWNkNmNiOWYxMmE2YTZlOTMzNTU1M2RiZDAwMWMiLCJ1c2VySWQiOiIxMTIzODE0NTk2In0=</vt:lpwstr>
  </property>
</Properties>
</file>