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</w:rPr>
        <w:t>3</w:t>
      </w: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中央、省驻湛单位数字化城市管理问题处置情况表（2021年2月）</w:t>
      </w:r>
    </w:p>
    <w:tbl>
      <w:tblPr>
        <w:tblStyle w:val="5"/>
        <w:tblW w:w="15194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020"/>
        <w:gridCol w:w="690"/>
        <w:gridCol w:w="704"/>
        <w:gridCol w:w="795"/>
        <w:gridCol w:w="1110"/>
        <w:gridCol w:w="1112"/>
        <w:gridCol w:w="992"/>
        <w:gridCol w:w="1134"/>
        <w:gridCol w:w="992"/>
        <w:gridCol w:w="992"/>
        <w:gridCol w:w="1134"/>
        <w:gridCol w:w="9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专业部门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综合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考核排名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应处 置问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题数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处置完成数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处置率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按时</w:t>
            </w:r>
          </w:p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处置率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未处理</w:t>
            </w:r>
          </w:p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(35分)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超时处理</w:t>
            </w:r>
          </w:p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 xml:space="preserve">(35分)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返工</w:t>
            </w:r>
          </w:p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(10分)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公众</w:t>
            </w:r>
          </w:p>
          <w:p>
            <w:pPr>
              <w:jc w:val="center"/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投诉</w:t>
            </w:r>
          </w:p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(5分)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二次</w:t>
            </w:r>
          </w:p>
          <w:p>
            <w:pPr>
              <w:jc w:val="center"/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派遣</w:t>
            </w:r>
          </w:p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(5分)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延期率</w:t>
            </w:r>
          </w:p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(5分)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平台工作</w:t>
            </w:r>
          </w:p>
          <w:p>
            <w:pPr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color w:val="000000"/>
                <w:sz w:val="22"/>
                <w:szCs w:val="22"/>
              </w:rPr>
              <w:t>(5分)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中国海洋石油公司南海西部石油管理局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广东省广播电视网络股份有限公司湛江分公司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广东电网公司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湛江供电局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85.71%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66.67%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30.00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中国联通湛江分公司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74.13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78.26%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33.33%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27.39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16.74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中国电信湛江分公司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72.41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53.85%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45.71%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17.77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24.77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4.87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中国移动湛江分公司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65.76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25.15%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9.30%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8.80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27.02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9.94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中国邮政湛江分公司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仿宋_GB2312" w:hAnsi="宋体" w:cs="宋体"/>
          <w:sz w:val="24"/>
          <w:szCs w:val="24"/>
        </w:rPr>
        <w:t>注：中国石油化工股份有限公司广东湛江石油分公司、广东省机场管理集团公司湛江机场公司、广州铁路集团公司、中国石油天然气股份有限公司广东湛江销售分公司、中国铁塔股份有限公司湛江市分公司等</w:t>
      </w: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hint="eastAsia" w:ascii="仿宋_GB2312" w:hAnsi="宋体" w:cs="宋体"/>
          <w:sz w:val="24"/>
          <w:szCs w:val="24"/>
        </w:rPr>
        <w:t>个单位统计期内无案件。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65A3"/>
    <w:rsid w:val="023A65A3"/>
    <w:rsid w:val="060E1657"/>
    <w:rsid w:val="0C312C22"/>
    <w:rsid w:val="13C90BB4"/>
    <w:rsid w:val="198A2FD3"/>
    <w:rsid w:val="1ABA7ADE"/>
    <w:rsid w:val="205F026D"/>
    <w:rsid w:val="243F7BD6"/>
    <w:rsid w:val="25510613"/>
    <w:rsid w:val="26BC0C5E"/>
    <w:rsid w:val="28B733E1"/>
    <w:rsid w:val="29CF526E"/>
    <w:rsid w:val="372D111F"/>
    <w:rsid w:val="48EA2C7C"/>
    <w:rsid w:val="4BE341D5"/>
    <w:rsid w:val="4C627741"/>
    <w:rsid w:val="51304C70"/>
    <w:rsid w:val="5627638D"/>
    <w:rsid w:val="572B52D7"/>
    <w:rsid w:val="61107E97"/>
    <w:rsid w:val="656B05B5"/>
    <w:rsid w:val="65DF1EF1"/>
    <w:rsid w:val="69543AC7"/>
    <w:rsid w:val="6F167781"/>
    <w:rsid w:val="6FFB1E02"/>
    <w:rsid w:val="73A32E28"/>
    <w:rsid w:val="787942AE"/>
    <w:rsid w:val="7A256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2021-03-31T10:20:40Z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