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中央、省驻湛单位数字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化城市管理问题处置情况表（2019年9月）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855"/>
        <w:gridCol w:w="825"/>
        <w:gridCol w:w="885"/>
        <w:gridCol w:w="1026"/>
        <w:gridCol w:w="960"/>
        <w:gridCol w:w="1226"/>
        <w:gridCol w:w="1231"/>
        <w:gridCol w:w="1089"/>
        <w:gridCol w:w="1191"/>
        <w:gridCol w:w="940"/>
        <w:gridCol w:w="819"/>
        <w:gridCol w:w="105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综合得分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考核排名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问题数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处置完成数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完成率（%）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按时完成率（%）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问题未处理(35分)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问题超时处理(35分)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问题返工(10分)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公众投诉(5分)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二次派遣(5分)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延期率(5分)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  <w:t>平台工作(5分)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广东电网公司湛江供电局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广东省广播电视网络股份有限公司湛江分公司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中国海洋石油公司南海西部石油管理局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98.16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94.74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33.16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中国移动湛江分公司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94.53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8.57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中国电信湛江分公司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93.18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82.76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30.17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中国联通湛江分公司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77.74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75.00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26.25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21.86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广东省机场管理集团公司湛江机场公司、中国石油化工股份有限公司广东湛江石油分公司、中国石油天然气股份有限公司广东湛江销售分公司、广州铁路集团公司、中国铁塔股份有限公司湛江市分公司、中国邮政湛江分公司等6个单位统计期内无案件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0C312C22"/>
    <w:rsid w:val="13C90BB4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72B52D7"/>
    <w:rsid w:val="61107E97"/>
    <w:rsid w:val="656B05B5"/>
    <w:rsid w:val="65DF1EF1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2021-02-19T07:34:21Z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