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市直单位数字化城市管理</w:t>
      </w:r>
      <w:r>
        <w:rPr>
          <w:rFonts w:hint="eastAsia" w:ascii="宋体" w:cs="宋体"/>
          <w:b/>
          <w:bCs/>
          <w:sz w:val="36"/>
          <w:szCs w:val="36"/>
          <w:lang w:eastAsia="zh-CN"/>
        </w:rPr>
        <w:t>问题</w:t>
      </w:r>
      <w:r>
        <w:rPr>
          <w:rFonts w:hint="eastAsia" w:ascii="宋体" w:cs="宋体"/>
          <w:b/>
          <w:bCs/>
          <w:sz w:val="36"/>
          <w:szCs w:val="36"/>
        </w:rPr>
        <w:t>处置情况表（201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cs="宋体"/>
          <w:b/>
          <w:bCs/>
          <w:sz w:val="36"/>
          <w:szCs w:val="36"/>
        </w:rPr>
        <w:t>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W w:w="139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930"/>
        <w:gridCol w:w="705"/>
        <w:gridCol w:w="915"/>
        <w:gridCol w:w="870"/>
        <w:gridCol w:w="938"/>
        <w:gridCol w:w="907"/>
        <w:gridCol w:w="998"/>
        <w:gridCol w:w="945"/>
        <w:gridCol w:w="915"/>
        <w:gridCol w:w="817"/>
        <w:gridCol w:w="773"/>
        <w:gridCol w:w="877"/>
        <w:gridCol w:w="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问题数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完成数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完成率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完成率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超时处理(35分)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返工(10分)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二次派遣(5分)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99.98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市水务投资集团有限公司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99.14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9.63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4.51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98.35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34.30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9.80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4.35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97.75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2.75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96.92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93.33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32.67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9.33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4.92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市湖光岩风景区管理局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17.50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2.75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67.69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7.69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7.69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市市场物业管理总站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</w:tbl>
    <w:p>
      <w:pPr>
        <w:rPr>
          <w:rFonts w:hint="eastAsia" w:asci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注：市公路管理局、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市市场监督管理局、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市邮政管理局、市生态环境局、市医疗保障局、市卫生健康局、市农业农村局、市自然资源局、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水务局、市气象局、市工业和信息化局、市文化广电旅游体育局、市公安消防局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市供销合作社联合社、市鸿运公共交通有限公司、市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</w:rPr>
        <w:t>基础设施建设投资集团有限公司等15个单位统计期内无案件。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4235642F"/>
    <w:rsid w:val="4BD122A4"/>
    <w:rsid w:val="4FA66B19"/>
    <w:rsid w:val="54542315"/>
    <w:rsid w:val="624E70A4"/>
    <w:rsid w:val="629E277D"/>
    <w:rsid w:val="77EC54D1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2020-08-14T11:28:18Z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