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附件3</w:t>
      </w:r>
      <w:bookmarkStart w:id="0" w:name="_GoBack"/>
      <w:bookmarkEnd w:id="0"/>
    </w:p>
    <w:p>
      <w:pPr>
        <w:rPr>
          <w:rFonts w:ascii="黑体" w:eastAsia="黑体" w:cs="黑体"/>
          <w:sz w:val="24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中央、省驻湛单位数字化城市管理问题处置情况表（2020年1月）</w:t>
      </w:r>
    </w:p>
    <w:tbl>
      <w:tblPr>
        <w:tblStyle w:val="5"/>
        <w:tblpPr w:leftFromText="180" w:rightFromText="180" w:vertAnchor="text" w:horzAnchor="page" w:tblpXSpec="center" w:tblpY="12"/>
        <w:tblOverlap w:val="never"/>
        <w:tblW w:w="16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948"/>
        <w:gridCol w:w="825"/>
        <w:gridCol w:w="885"/>
        <w:gridCol w:w="885"/>
        <w:gridCol w:w="851"/>
        <w:gridCol w:w="1135"/>
        <w:gridCol w:w="1226"/>
        <w:gridCol w:w="1183"/>
        <w:gridCol w:w="1276"/>
        <w:gridCol w:w="1052"/>
        <w:gridCol w:w="1074"/>
        <w:gridCol w:w="992"/>
        <w:gridCol w:w="992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专业部门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综合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得分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考核排名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问题数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应处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置数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处置完成数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处置率（%）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按时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处置率（%）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问题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未处理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(35分)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问题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超时处理(35分) 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问题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返工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(10分)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公众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投诉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(5分)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二次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派遣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(5分)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延期率(5分)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平台工作(5分)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中国联通湛江分公司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 xml:space="preserve">100.00 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3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3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100.00%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100.00%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 xml:space="preserve">35.00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 xml:space="preserve">35.00 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 xml:space="preserve">10.00 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 xml:space="preserve">5.00 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 xml:space="preserve">5.00 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 xml:space="preserve">5.00 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中国海洋石油公司南海西部石油管理局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 xml:space="preserve">90.45 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12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11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10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90.91%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81.82%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 xml:space="preserve">31.82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 xml:space="preserve">28.64 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10.00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5.00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5.00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5.00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中国电信湛江分公司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 xml:space="preserve">87.52 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3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25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22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21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95.45%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81.82%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 xml:space="preserve">33.41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 xml:space="preserve">28.64 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10.00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5.00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5.00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 xml:space="preserve">0.48 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广东电网公司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湛江供电局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85.25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4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5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3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60.00%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60.00%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 xml:space="preserve">21.00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 xml:space="preserve">35.00 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10.00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5.00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5.00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 xml:space="preserve">4.25 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cs="Arial"/>
                <w:color w:val="000000"/>
                <w:sz w:val="20"/>
              </w:rPr>
              <w:t>中国移动湛江分公司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72.75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5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12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12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3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25.00%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91.67%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 xml:space="preserve">11.67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 xml:space="preserve">32.08 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 xml:space="preserve">9.17 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5.00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5.00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 xml:space="preserve">4.83 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20"/>
              </w:rPr>
            </w:pPr>
            <w:r>
              <w:rPr>
                <w:rFonts w:hint="eastAsia" w:ascii="仿宋_GB2312" w:hAnsi="Arial" w:cs="Arial"/>
                <w:sz w:val="20"/>
              </w:rPr>
              <w:t>5.00</w:t>
            </w:r>
          </w:p>
        </w:tc>
      </w:tr>
    </w:tbl>
    <w:p>
      <w:pPr>
        <w:ind w:left="480" w:hanging="480" w:hangingChars="200"/>
        <w:rPr>
          <w:rFonts w:ascii="宋体" w:cs="宋体"/>
          <w:color w:val="0000FF"/>
          <w:sz w:val="24"/>
          <w:szCs w:val="21"/>
        </w:rPr>
      </w:pPr>
      <w:r>
        <w:rPr>
          <w:rFonts w:hint="eastAsia" w:ascii="宋体" w:hAnsi="宋体" w:cs="宋体"/>
          <w:sz w:val="24"/>
          <w:szCs w:val="21"/>
        </w:rPr>
        <w:t>注：广州铁路集团公司、广东省机场管理集团公司湛江机场公司、中国石油化工股份有限公司广东湛江石油分公司、广东省广播电视网络股份有限公司湛江分公司、中国邮政湛江分公司、中国铁塔股份有限公司湛江市分公司、南宁铁路局、中国石油天然气股份有限公司广东湛江销售分公司等8个单位统计期内无案件。</w:t>
      </w:r>
      <w:r>
        <w:rPr>
          <w:rFonts w:ascii="宋体" w:cs="宋体"/>
          <w:color w:val="0000FF"/>
          <w:sz w:val="24"/>
          <w:szCs w:val="21"/>
        </w:rP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23A65A3"/>
    <w:rsid w:val="572B52D7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2020-06-18T05:17:29Z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